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14C6" w14:textId="77777777" w:rsidR="009341ED" w:rsidRPr="00EC3A11" w:rsidRDefault="009341ED" w:rsidP="00D93B9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9722833"/>
    </w:p>
    <w:bookmarkEnd w:id="0"/>
    <w:p w14:paraId="456CCCCB" w14:textId="59A1C56B" w:rsidR="00D93B9A" w:rsidRDefault="00D93B9A" w:rsidP="00D93B9A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Załącznik nr </w:t>
      </w:r>
      <w:r w:rsidR="00A775C5">
        <w:rPr>
          <w:rFonts w:asciiTheme="minorHAnsi" w:hAnsiTheme="minorHAnsi" w:cstheme="minorHAnsi"/>
          <w:sz w:val="22"/>
          <w:szCs w:val="22"/>
        </w:rPr>
        <w:t>4</w:t>
      </w:r>
      <w:bookmarkStart w:id="1" w:name="_GoBack"/>
      <w:bookmarkEnd w:id="1"/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F96B8C" w14:textId="77777777" w:rsidR="00D93B9A" w:rsidRDefault="00D93B9A" w:rsidP="00D93B9A">
      <w:pPr>
        <w:pStyle w:val="paragraph"/>
        <w:tabs>
          <w:tab w:val="left" w:pos="8789"/>
        </w:tabs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do Uchwały Nr 712/2019 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9FD7F6" w14:textId="77777777" w:rsidR="00D93B9A" w:rsidRDefault="00D93B9A" w:rsidP="00D93B9A">
      <w:pPr>
        <w:pStyle w:val="paragraph"/>
        <w:tabs>
          <w:tab w:val="left" w:pos="8789"/>
        </w:tabs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2CED2E" w14:textId="77777777" w:rsidR="00D93B9A" w:rsidRDefault="00D93B9A" w:rsidP="00D93B9A">
      <w:pPr>
        <w:pStyle w:val="paragraph"/>
        <w:tabs>
          <w:tab w:val="left" w:pos="8789"/>
        </w:tabs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z dnia 19 września 2019 r.</w:t>
      </w:r>
    </w:p>
    <w:p w14:paraId="3993DE72" w14:textId="77777777" w:rsidR="00D93B9A" w:rsidRDefault="00D93B9A" w:rsidP="00D93B9A">
      <w:pPr>
        <w:ind w:left="4536"/>
        <w:jc w:val="right"/>
        <w:rPr>
          <w:rFonts w:ascii="Calibri" w:hAnsi="Calibri"/>
          <w:sz w:val="22"/>
        </w:rPr>
      </w:pPr>
    </w:p>
    <w:p w14:paraId="78C981FE" w14:textId="1CDC61D1" w:rsidR="00D93B9A" w:rsidRDefault="00D93B9A" w:rsidP="00D93B9A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9E96D" wp14:editId="3830B906">
                <wp:simplePos x="0" y="0"/>
                <wp:positionH relativeFrom="column">
                  <wp:posOffset>1854835</wp:posOffset>
                </wp:positionH>
                <wp:positionV relativeFrom="paragraph">
                  <wp:posOffset>102235</wp:posOffset>
                </wp:positionV>
                <wp:extent cx="3722370" cy="0"/>
                <wp:effectExtent l="19050" t="19050" r="49530" b="381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237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D51C4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8.05pt" to="439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" strokecolor="#253c80" strokeweight="4pt">
                <v:stroke joinstyle="miter" endcap="round"/>
              </v:line>
            </w:pict>
          </mc:Fallback>
        </mc:AlternateContent>
      </w:r>
      <w:r>
        <w:rPr>
          <w:rFonts w:ascii="Calibri" w:hAnsi="Calibri" w:cs="Times New Roman"/>
          <w:b/>
          <w:color w:val="000000"/>
          <w:sz w:val="28"/>
          <w:szCs w:val="28"/>
        </w:rPr>
        <w:t xml:space="preserve">  </w:t>
      </w:r>
    </w:p>
    <w:p w14:paraId="658CF185" w14:textId="77777777" w:rsidR="00D93B9A" w:rsidRDefault="00D93B9A" w:rsidP="00D93B9A">
      <w:pPr>
        <w:ind w:left="4536"/>
        <w:jc w:val="right"/>
        <w:rPr>
          <w:rFonts w:ascii="Calibri" w:hAnsi="Calibri"/>
          <w:sz w:val="22"/>
        </w:rPr>
      </w:pPr>
    </w:p>
    <w:p w14:paraId="6B1A6C15" w14:textId="77777777" w:rsidR="00D93B9A" w:rsidRDefault="00D93B9A" w:rsidP="00D93B9A">
      <w:pPr>
        <w:ind w:left="4536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Załącznik nr </w:t>
      </w:r>
    </w:p>
    <w:p w14:paraId="6FB149A0" w14:textId="77777777" w:rsidR="00D93B9A" w:rsidRDefault="00D93B9A" w:rsidP="00D93B9A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 Uchwały Nr </w:t>
      </w:r>
    </w:p>
    <w:p w14:paraId="7F6283D2" w14:textId="77777777" w:rsidR="00D93B9A" w:rsidRDefault="00D93B9A" w:rsidP="00D93B9A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Prezydium Polskiej Komisji Akredytacyjnej</w:t>
      </w:r>
    </w:p>
    <w:p w14:paraId="01680382" w14:textId="77777777" w:rsidR="00D93B9A" w:rsidRDefault="00D93B9A" w:rsidP="00D93B9A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 dnia </w:t>
      </w:r>
    </w:p>
    <w:p w14:paraId="0E5B3B37" w14:textId="77777777" w:rsidR="00D93B9A" w:rsidRDefault="00D93B9A" w:rsidP="00D93B9A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32F1AA3A" w14:textId="77777777" w:rsidR="009341ED" w:rsidRPr="00EC3A11" w:rsidRDefault="009341ED" w:rsidP="009341E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528"/>
      </w:tblGrid>
      <w:tr w:rsidR="009341ED" w:rsidRPr="00EC3A11" w14:paraId="57672F15" w14:textId="77777777" w:rsidTr="009341ED">
        <w:trPr>
          <w:trHeight w:val="647"/>
        </w:trPr>
        <w:tc>
          <w:tcPr>
            <w:tcW w:w="2835" w:type="dxa"/>
            <w:vMerge w:val="restart"/>
            <w:hideMark/>
          </w:tcPr>
          <w:p w14:paraId="7C1C32AE" w14:textId="0618A12D" w:rsidR="009341ED" w:rsidRPr="00EC3A11" w:rsidRDefault="009341E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C3A11">
              <w:rPr>
                <w:rFonts w:cs="Calibri"/>
                <w:noProof/>
                <w:szCs w:val="22"/>
              </w:rPr>
              <w:drawing>
                <wp:anchor distT="0" distB="0" distL="114300" distR="114300" simplePos="0" relativeHeight="251659264" behindDoc="0" locked="1" layoutInCell="1" allowOverlap="0" wp14:anchorId="3134EF4F" wp14:editId="6D558D3F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4" name="Obraz 4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60D14594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41ED" w:rsidRPr="00EC3A11" w14:paraId="5B2215F1" w14:textId="77777777" w:rsidTr="009341ED">
        <w:trPr>
          <w:trHeight w:val="2995"/>
        </w:trPr>
        <w:tc>
          <w:tcPr>
            <w:tcW w:w="0" w:type="auto"/>
            <w:vMerge/>
            <w:vAlign w:val="center"/>
            <w:hideMark/>
          </w:tcPr>
          <w:p w14:paraId="2C861D2F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01A64C6" w14:textId="77777777" w:rsidR="009341ED" w:rsidRPr="00EC3A11" w:rsidRDefault="009341ED">
            <w:pPr>
              <w:pStyle w:val="PKA-STRONA1"/>
              <w:ind w:left="0"/>
              <w:jc w:val="left"/>
              <w:rPr>
                <w:lang w:eastAsia="en-US"/>
              </w:rPr>
            </w:pPr>
            <w:r w:rsidRPr="00EC3A11">
              <w:rPr>
                <w:lang w:eastAsia="en-US"/>
              </w:rPr>
              <w:t>O</w:t>
            </w:r>
            <w:r w:rsidRPr="00EC3A11">
              <w:rPr>
                <w:bCs w:val="0"/>
                <w:lang w:eastAsia="en-US"/>
              </w:rPr>
              <w:t>pinia</w:t>
            </w:r>
            <w:r w:rsidRPr="00EC3A11">
              <w:rPr>
                <w:lang w:eastAsia="en-US"/>
              </w:rPr>
              <w:t xml:space="preserve"> </w:t>
            </w:r>
            <w:r w:rsidRPr="00EC3A11">
              <w:rPr>
                <w:bCs w:val="0"/>
                <w:lang w:eastAsia="en-US"/>
              </w:rPr>
              <w:t>Zespołu</w:t>
            </w:r>
            <w:r w:rsidRPr="00EC3A11">
              <w:rPr>
                <w:lang w:eastAsia="en-US"/>
              </w:rPr>
              <w:t xml:space="preserve"> …………………………</w:t>
            </w:r>
          </w:p>
          <w:p w14:paraId="7F98CB74" w14:textId="30FE6524" w:rsidR="009341ED" w:rsidRPr="00EC3A11" w:rsidRDefault="009341ED" w:rsidP="009341E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C3A11">
              <w:rPr>
                <w:rFonts w:cstheme="minorHAnsi"/>
                <w:bCs/>
                <w:sz w:val="20"/>
                <w:szCs w:val="20"/>
              </w:rPr>
              <w:t>(nazwa Zespołu działającego w ramach dziedziny/Zespołu do spraw kształcenia nauczycieli)</w:t>
            </w:r>
          </w:p>
          <w:p w14:paraId="23C224F1" w14:textId="77777777" w:rsidR="009341ED" w:rsidRPr="00EC3A11" w:rsidRDefault="009341E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A0FF881" w14:textId="492D7DB9" w:rsidR="009341ED" w:rsidRPr="00EC3A11" w:rsidRDefault="009341ED">
            <w:pPr>
              <w:pStyle w:val="Tytu"/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</w:pP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 xml:space="preserve">w sprawie spełnienia 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2"/>
                <w:sz w:val="24"/>
                <w:szCs w:val="24"/>
                <w:lang w:eastAsia="en-US"/>
              </w:rPr>
              <w:t>warunków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prowadzenia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studiów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na określonym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2"/>
                <w:sz w:val="24"/>
                <w:szCs w:val="24"/>
                <w:lang w:eastAsia="en-US"/>
              </w:rPr>
              <w:t>kierunku,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poziomie i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profilu oraz związku studiów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ze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strategią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uczelni</w:t>
            </w:r>
          </w:p>
          <w:p w14:paraId="01BD6D98" w14:textId="77777777" w:rsidR="009341ED" w:rsidRPr="00EC3A11" w:rsidRDefault="009341E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341ED" w:rsidRPr="00EC3A11" w14:paraId="37548C75" w14:textId="77777777" w:rsidTr="009341ED">
        <w:trPr>
          <w:trHeight w:val="686"/>
        </w:trPr>
        <w:tc>
          <w:tcPr>
            <w:tcW w:w="0" w:type="auto"/>
            <w:vMerge/>
            <w:vAlign w:val="center"/>
            <w:hideMark/>
          </w:tcPr>
          <w:p w14:paraId="45B0A175" w14:textId="77777777"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242EED5B" w14:textId="65E1E291" w:rsidR="009341ED" w:rsidRPr="00EC3A11" w:rsidRDefault="009341E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C3A11">
              <w:rPr>
                <w:rFonts w:ascii="Times New Roman" w:hAnsi="Times New Roman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D692A" wp14:editId="6BBA51D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102870</wp:posOffset>
                      </wp:positionV>
                      <wp:extent cx="3833495" cy="0"/>
                      <wp:effectExtent l="19050" t="19050" r="52705" b="381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286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35FD8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3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419D3A86" w14:textId="77777777" w:rsidR="009341ED" w:rsidRPr="00EC3A11" w:rsidRDefault="009341ED" w:rsidP="009341ED">
      <w:pPr>
        <w:spacing w:line="360" w:lineRule="auto"/>
        <w:ind w:firstLine="1134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14:paraId="47DAEE3C" w14:textId="77777777" w:rsidR="009341ED" w:rsidRPr="00EC3A11" w:rsidRDefault="009341ED" w:rsidP="009341ED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34F25F8B" w14:textId="77777777" w:rsidR="009341ED" w:rsidRPr="00EC3A11" w:rsidRDefault="009341ED" w:rsidP="009341E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514838FA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Nazwa kierunku studiów:</w:t>
      </w:r>
    </w:p>
    <w:p w14:paraId="5ABEB4B9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 xml:space="preserve">Poziom/y studiów: </w:t>
      </w:r>
    </w:p>
    <w:p w14:paraId="6127F83E" w14:textId="305DA73E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Profil studiów:</w:t>
      </w:r>
      <w:r w:rsidR="00D93B9A">
        <w:rPr>
          <w:b/>
          <w:bCs/>
          <w:color w:val="223C83"/>
        </w:rPr>
        <w:t xml:space="preserve"> praktyczny</w:t>
      </w:r>
    </w:p>
    <w:p w14:paraId="556B56F6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 xml:space="preserve">Forma/y studiów: </w:t>
      </w:r>
    </w:p>
    <w:p w14:paraId="11F3FF8D" w14:textId="77777777"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Nazwa i siedziba uczelni wnioskującej o pozwolenie na utworzenie studiów:</w:t>
      </w:r>
    </w:p>
    <w:p w14:paraId="589F7214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77E84965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2554A99E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6F2446F9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5DC3A7BB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60692B7" w14:textId="77777777" w:rsidR="009341ED" w:rsidRPr="00EC3A11" w:rsidRDefault="009341ED" w:rsidP="009341ED">
      <w:pPr>
        <w:rPr>
          <w:rFonts w:cs="Times New Roman"/>
          <w:sz w:val="20"/>
          <w:szCs w:val="20"/>
        </w:rPr>
      </w:pPr>
    </w:p>
    <w:p w14:paraId="353751E5" w14:textId="77777777" w:rsidR="009341ED" w:rsidRPr="00EC3A11" w:rsidRDefault="009341ED" w:rsidP="009341ED">
      <w:pPr>
        <w:rPr>
          <w:rFonts w:cs="Times New Roman"/>
          <w:b/>
          <w:sz w:val="28"/>
          <w:szCs w:val="28"/>
        </w:rPr>
      </w:pPr>
    </w:p>
    <w:p w14:paraId="264D88BF" w14:textId="77777777" w:rsidR="009341ED" w:rsidRPr="00EC3A11" w:rsidRDefault="009341ED" w:rsidP="009341ED">
      <w:pPr>
        <w:ind w:left="2268"/>
        <w:jc w:val="both"/>
        <w:rPr>
          <w:rFonts w:ascii="Arial" w:hAnsi="Arial" w:cs="Arial"/>
          <w:b/>
          <w:sz w:val="22"/>
        </w:rPr>
      </w:pPr>
      <w:r w:rsidRPr="00EC3A11">
        <w:rPr>
          <w:rFonts w:ascii="Arial" w:hAnsi="Arial" w:cs="Arial"/>
          <w:b/>
          <w:sz w:val="22"/>
        </w:rPr>
        <w:lastRenderedPageBreak/>
        <w:t>Warszawa, ……</w:t>
      </w:r>
    </w:p>
    <w:p w14:paraId="0783D6F7" w14:textId="77777777" w:rsidR="009341ED" w:rsidRPr="00EC3A11" w:rsidRDefault="009341ED" w:rsidP="009341ED">
      <w:pPr>
        <w:ind w:left="2268"/>
        <w:jc w:val="both"/>
        <w:rPr>
          <w:rFonts w:ascii="Arial" w:hAnsi="Arial" w:cs="Arial"/>
          <w:b/>
          <w:sz w:val="22"/>
        </w:rPr>
      </w:pPr>
      <w:r w:rsidRPr="00EC3A11">
        <w:rPr>
          <w:rFonts w:ascii="Calibri" w:hAnsi="Calibri"/>
          <w:sz w:val="20"/>
          <w:szCs w:val="20"/>
        </w:rPr>
        <w:t>(data wydania opinii)</w:t>
      </w:r>
    </w:p>
    <w:p w14:paraId="7F71AD88" w14:textId="77777777" w:rsidR="00733E7A" w:rsidRPr="00EC3A11" w:rsidRDefault="00733E7A" w:rsidP="00733E7A">
      <w:pPr>
        <w:jc w:val="both"/>
        <w:rPr>
          <w:rFonts w:cstheme="minorHAnsi"/>
          <w:sz w:val="22"/>
        </w:rPr>
      </w:pPr>
    </w:p>
    <w:p w14:paraId="3FC787A3" w14:textId="1B0B6B60" w:rsidR="00733E7A" w:rsidRPr="00EC3A11" w:rsidRDefault="00D0411D" w:rsidP="00733E7A">
      <w:pPr>
        <w:spacing w:line="276" w:lineRule="auto"/>
        <w:jc w:val="both"/>
        <w:rPr>
          <w:rFonts w:cstheme="minorHAnsi"/>
          <w:b/>
          <w:sz w:val="22"/>
          <w:szCs w:val="22"/>
        </w:rPr>
      </w:pPr>
      <w:bookmarkStart w:id="2" w:name="_Hlk19313945"/>
      <w:r w:rsidRPr="00EC3A11">
        <w:rPr>
          <w:rFonts w:cstheme="minorHAnsi"/>
          <w:sz w:val="22"/>
          <w:szCs w:val="22"/>
        </w:rPr>
        <w:t>(data posiedzenia Zespołu)</w:t>
      </w:r>
    </w:p>
    <w:p w14:paraId="64AB56B3" w14:textId="77777777" w:rsidR="00733E7A" w:rsidRPr="00EC3A11" w:rsidRDefault="00733E7A" w:rsidP="00733E7A">
      <w:pPr>
        <w:spacing w:after="160" w:line="276" w:lineRule="auto"/>
        <w:jc w:val="both"/>
        <w:rPr>
          <w:rFonts w:cstheme="minorHAnsi"/>
          <w:sz w:val="22"/>
          <w:szCs w:val="22"/>
        </w:rPr>
      </w:pPr>
    </w:p>
    <w:p w14:paraId="1C29ECBE" w14:textId="1AB8694B" w:rsidR="00733E7A" w:rsidRPr="00EC3A11" w:rsidRDefault="00D0411D" w:rsidP="00733E7A">
      <w:pPr>
        <w:spacing w:after="160" w:line="276" w:lineRule="auto"/>
        <w:jc w:val="both"/>
        <w:rPr>
          <w:rFonts w:cstheme="minorHAnsi"/>
          <w:sz w:val="22"/>
          <w:szCs w:val="22"/>
        </w:rPr>
      </w:pPr>
      <w:bookmarkStart w:id="3" w:name="_Hlk19129271"/>
      <w:r w:rsidRPr="00EC3A11">
        <w:rPr>
          <w:rFonts w:ascii="Calibri" w:eastAsia="Times New Roman" w:hAnsi="Calibri" w:cs="Arial"/>
          <w:sz w:val="22"/>
          <w:szCs w:val="20"/>
          <w:lang w:eastAsia="pl-PL"/>
        </w:rPr>
        <w:t>Zespół nauk……………../sztuki/do spraw kształcenia nauczycieli</w:t>
      </w:r>
      <w:r w:rsidRPr="00EC3A11">
        <w:rPr>
          <w:rFonts w:cstheme="minorHAnsi"/>
          <w:b/>
          <w:bCs/>
          <w:color w:val="223C83"/>
          <w:sz w:val="22"/>
          <w:szCs w:val="22"/>
        </w:rPr>
        <w:t xml:space="preserve"> </w:t>
      </w:r>
      <w:r w:rsidR="00733E7A" w:rsidRPr="00EC3A11">
        <w:rPr>
          <w:rFonts w:cstheme="minorHAnsi"/>
          <w:b/>
          <w:bCs/>
          <w:color w:val="223C83"/>
          <w:sz w:val="22"/>
          <w:szCs w:val="22"/>
        </w:rPr>
        <w:t xml:space="preserve">wyraża pozytywną opinię </w:t>
      </w:r>
      <w:r w:rsidR="00733E7A" w:rsidRPr="00EC3A11">
        <w:rPr>
          <w:rFonts w:cstheme="minorHAnsi"/>
          <w:sz w:val="22"/>
          <w:szCs w:val="22"/>
        </w:rPr>
        <w:t>w związku z tym, że studia</w:t>
      </w:r>
      <w:bookmarkEnd w:id="3"/>
      <w:r w:rsidR="00733E7A" w:rsidRPr="00EC3A11">
        <w:rPr>
          <w:rFonts w:cstheme="minorHAnsi"/>
          <w:sz w:val="22"/>
          <w:szCs w:val="22"/>
        </w:rPr>
        <w:t xml:space="preserve"> na kierunku</w:t>
      </w:r>
      <w:r w:rsidRPr="00EC3A11">
        <w:rPr>
          <w:rFonts w:cstheme="minorHAnsi"/>
          <w:sz w:val="22"/>
          <w:szCs w:val="22"/>
        </w:rPr>
        <w:t xml:space="preserve"> …………..</w:t>
      </w:r>
      <w:r w:rsidR="00733E7A" w:rsidRPr="00EC3A11">
        <w:rPr>
          <w:rFonts w:cstheme="minorHAnsi"/>
          <w:sz w:val="22"/>
          <w:szCs w:val="22"/>
        </w:rPr>
        <w:t xml:space="preserve"> na poziomie </w:t>
      </w:r>
      <w:r w:rsidR="00CE6D83" w:rsidRPr="00EC3A11">
        <w:rPr>
          <w:rFonts w:cstheme="minorHAnsi"/>
          <w:sz w:val="22"/>
          <w:szCs w:val="22"/>
        </w:rPr>
        <w:t>studiów</w:t>
      </w:r>
      <w:r w:rsidRPr="00EC3A11">
        <w:rPr>
          <w:rFonts w:cstheme="minorHAnsi"/>
          <w:sz w:val="22"/>
          <w:szCs w:val="22"/>
        </w:rPr>
        <w:t xml:space="preserve"> ………………</w:t>
      </w:r>
      <w:r w:rsidR="00733E7A" w:rsidRPr="00EC3A11">
        <w:rPr>
          <w:rFonts w:cstheme="minorHAnsi"/>
          <w:sz w:val="22"/>
          <w:szCs w:val="22"/>
        </w:rPr>
        <w:t>, o profilu praktycznym mają związek ze strategią uczelni oraz spełnione są warunki ich prowadzenia.</w:t>
      </w:r>
    </w:p>
    <w:p w14:paraId="0F6BF517" w14:textId="420490F5" w:rsidR="00733E7A" w:rsidRPr="00EC3A11" w:rsidRDefault="00733E7A" w:rsidP="00733E7A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4" w:name="_Toc19271985"/>
      <w:r w:rsidRPr="00EC3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Uzasadnienie oceny stopnia spełnienia szczegółowych kryteriów recenzowania wniosków o pozwolenie na utworzenie studiów na określonym kierunku poziomie i profilu (w porządku według poszczególnych kryteriów)</w:t>
      </w:r>
      <w:bookmarkEnd w:id="4"/>
      <w:r w:rsidRPr="00EC3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BA63272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1. Konstrukcja programu studiów: koncepcja, cele kształcenia i efekty uczenia się </w:t>
      </w:r>
    </w:p>
    <w:p w14:paraId="5E1E6DE5" w14:textId="0D35D387" w:rsidR="00A52EB6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Koncepcja i cele kształcenia są zgodne ze strategią uczelni oraz mieszczą się w dyscyplin</w:t>
      </w:r>
      <w:r w:rsidR="00FD285B" w:rsidRPr="00EC3A11">
        <w:rPr>
          <w:rFonts w:cstheme="minorHAnsi"/>
          <w:sz w:val="22"/>
          <w:szCs w:val="22"/>
        </w:rPr>
        <w:t>ie</w:t>
      </w:r>
      <w:r w:rsidR="0018081C" w:rsidRPr="00EC3A11">
        <w:rPr>
          <w:rFonts w:cstheme="minorHAnsi"/>
          <w:sz w:val="22"/>
          <w:szCs w:val="22"/>
        </w:rPr>
        <w:t xml:space="preserve"> </w:t>
      </w:r>
      <w:r w:rsidR="00D0411D" w:rsidRPr="00EC3A11">
        <w:rPr>
          <w:rFonts w:cstheme="minorHAnsi"/>
          <w:sz w:val="22"/>
          <w:szCs w:val="22"/>
        </w:rPr>
        <w:t>lub dyscyplinach, do których</w:t>
      </w:r>
      <w:r w:rsidRPr="00EC3A11">
        <w:rPr>
          <w:rFonts w:cstheme="minorHAnsi"/>
          <w:sz w:val="22"/>
          <w:szCs w:val="22"/>
        </w:rPr>
        <w:t xml:space="preserve"> kierunek jest przyporządkowany, uwzględniają postęp w obszarach działalności zawodowej/gospodarczej właściwych dla kierunku, oraz są zorientowane na potrzeby otoczenia społeczno-gospodarczego, w tym w szczególności zawodowego rynku pracy. </w:t>
      </w:r>
      <w:r w:rsidR="00A52EB6" w:rsidRPr="00EC3A11">
        <w:rPr>
          <w:rFonts w:ascii="Calibri" w:hAnsi="Calibri" w:cs="Calibri"/>
          <w:sz w:val="22"/>
          <w:szCs w:val="22"/>
        </w:rPr>
        <w:t>Efekty uczenia się są zgodne z koncepcją i celami kształcenia oraz dyscypliną lub dyscyplinami, do których jest przyporządkowany kierunek, opisują, w sposób trafny, specyficzny, realistyczny i pozwalający na stworzenie systemu weryfikacji, wiedzę, umiejętności i kompetencje społeczne osiągane przez studentów, a także odpowiadają właściwemu poziomowi Polskiej Ramy Kwalifikacji oraz profilowi praktycznemu.</w:t>
      </w:r>
    </w:p>
    <w:p w14:paraId="57CE3D48" w14:textId="25FAB225" w:rsidR="00A52EB6" w:rsidRPr="0049429C" w:rsidRDefault="00A52EB6" w:rsidP="00A52EB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Efekty uczenia się w przypadku kierunków studiów przygotowujących do wykonywania zawodów, </w:t>
      </w:r>
      <w:r w:rsidR="00EC3A11" w:rsidRPr="0049429C">
        <w:rPr>
          <w:rFonts w:ascii="Calibri" w:hAnsi="Calibri" w:cs="Calibri"/>
          <w:i/>
          <w:iCs/>
          <w:sz w:val="22"/>
          <w:szCs w:val="22"/>
        </w:rPr>
        <w:br/>
      </w:r>
      <w:r w:rsidRPr="0049429C">
        <w:rPr>
          <w:rFonts w:ascii="Calibri" w:hAnsi="Calibri" w:cs="Calibri"/>
          <w:i/>
          <w:iCs/>
          <w:sz w:val="22"/>
          <w:szCs w:val="22"/>
        </w:rPr>
        <w:t>o których mowa w art. 68 ust. 1 ustawy zawierają pełny zakres ogólnych i szczegółowych efektów uczenia się zawartych w standardach kształcenia określonych w rozporządzeniach wydanych na podstawie art. 68 ust. 3 ustawy.</w:t>
      </w:r>
    </w:p>
    <w:p w14:paraId="44D2DD14" w14:textId="5101C25E" w:rsidR="00A52EB6" w:rsidRPr="0049429C" w:rsidRDefault="00A52EB6" w:rsidP="00EC3A11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 xml:space="preserve">w przepisach wydanych na podstawie art. 7 ust. 3 ustawy z dnia 22 grudnia 2015 r.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o Zintegrowanym Systemie Kwalifikacji (Dz. U. z 2018 r. poz. 2153 i 2245).</w:t>
      </w:r>
    </w:p>
    <w:p w14:paraId="3C81682A" w14:textId="77777777" w:rsidR="00733E7A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B85F530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2. Realizacja programu studiów: treści programowe, harmonogram realizacji programu studiów oraz formy i organizacja zajęć, metody kształcenia, praktyki zawodowe, organizacja procesu nauczania i uczenia się </w:t>
      </w:r>
    </w:p>
    <w:p w14:paraId="6A86F9CC" w14:textId="77777777" w:rsidR="00A52EB6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Treści</w:t>
      </w:r>
      <w:r w:rsidR="00A52EB6" w:rsidRPr="00EC3A11">
        <w:rPr>
          <w:rFonts w:cstheme="minorHAnsi"/>
          <w:sz w:val="22"/>
          <w:szCs w:val="22"/>
        </w:rPr>
        <w:t xml:space="preserve"> </w:t>
      </w:r>
      <w:r w:rsidR="00A52EB6" w:rsidRPr="00EC3A11">
        <w:rPr>
          <w:rFonts w:ascii="Calibri" w:hAnsi="Calibri" w:cs="Calibri"/>
          <w:sz w:val="22"/>
          <w:szCs w:val="22"/>
        </w:rPr>
        <w:t>programowe są zgodne z efektami uczenia się oraz uwzględniają aktualną wiedzę i jej zastosowania z zakresu dyscypliny lub dyscyplin, do których kierunek jest przyporządkowany, normy i zasady, a także aktualny stan praktyki w obszarach działalności zawodowej/ gospodarczej oraz zawodowego rynku pracy właściwych dla kierunku</w:t>
      </w:r>
      <w:r w:rsidRPr="00EC3A11">
        <w:rPr>
          <w:rFonts w:cstheme="minorHAnsi"/>
          <w:sz w:val="22"/>
          <w:szCs w:val="22"/>
        </w:rPr>
        <w:t xml:space="preserve">. </w:t>
      </w:r>
    </w:p>
    <w:p w14:paraId="0BF6F913" w14:textId="1CBDF58B" w:rsidR="00A52EB6" w:rsidRPr="0049429C" w:rsidRDefault="00A52EB6" w:rsidP="00A52EB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Treści programowe w przypadku kierunków studiów przygotowujących do wykonywania zawodów, o których mowa w art. 68 ust. 1 ustawy obejmują pełny zakres treści programowych zawartych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w standardach kształcenia określonych w rozporządzeniach wydanych na podstawie art. 68 ust. 3 ustawy.</w:t>
      </w:r>
    </w:p>
    <w:p w14:paraId="7A4790F6" w14:textId="7CD08A74" w:rsidR="00A52EB6" w:rsidRPr="00EC3A11" w:rsidRDefault="00A52EB6" w:rsidP="00A52E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ascii="Calibri" w:hAnsi="Calibri" w:cs="Calibri"/>
          <w:sz w:val="22"/>
          <w:szCs w:val="22"/>
        </w:rPr>
        <w:t>Harmonogram realizacji programu studiów oraz formy i organizacja zajęć a także liczba semestrów, liczba godzin zajęć prowadzonych z bezpośrednim udziałem nauczycieli akademickich lub innych osób prowadzących zajęcia i szacowany nakład pracy studentów mierzony liczbą punktów ECTS, umożliwiają studentom osiągnięcie wszystkich efektów uczenia się.</w:t>
      </w:r>
    </w:p>
    <w:p w14:paraId="018723D3" w14:textId="26BC3966" w:rsidR="00A52EB6" w:rsidRPr="0049429C" w:rsidRDefault="00A52EB6" w:rsidP="00A52EB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lastRenderedPageBreak/>
        <w:t xml:space="preserve">Harmonogram realizacji programu studiów oraz formy i organizacja zajęć a także liczba semestrów, liczba godzin zajęć prowadzonych z bezpośrednim udziałem nauczycieli akademickich lub innych osób prowadzących zajęcia i szacowany nakład pracy studentów mierzony liczbą punktów ECTS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 xml:space="preserve">w przypadku kierunków studiów przygotowujących do wykonywania zawodów, o których mowa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w art. 68 ust. 1 ustawy są zgodne z regułami i wymaganiami zawartymi w standardach kształcenia określonych w rozporządzeniach wydanych na podstawie art. 68 ust. 3 ustawy.</w:t>
      </w:r>
    </w:p>
    <w:p w14:paraId="6D1C1BC9" w14:textId="5D7BB850" w:rsidR="00733E7A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Metody kształcenia są zorientowane na studentów, motywują ich do aktywnego udziału w procesie nauczania i uczenia się oraz umożliwiają studentom osiągnięcie efektów uczenia się, w tym </w:t>
      </w:r>
      <w:r w:rsidR="00A52EB6" w:rsidRPr="00EC3A11">
        <w:rPr>
          <w:rFonts w:cstheme="minorHAnsi"/>
          <w:sz w:val="22"/>
          <w:szCs w:val="22"/>
        </w:rPr>
        <w:br/>
      </w:r>
      <w:r w:rsidRPr="00EC3A11">
        <w:rPr>
          <w:rFonts w:cstheme="minorHAnsi"/>
          <w:sz w:val="22"/>
          <w:szCs w:val="22"/>
        </w:rPr>
        <w:t>w szczególności umożliwiają przygotowanie do działalności zawodowej w obszarach zawodowego rynku pracy właściwych dla kierunku. 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 Organizacja procesu nauczania zapewnia efektywne wykorzystanie czasu przeznaczonego na nauczanie i uczenie się oraz weryfikację i ocenę efektów uczenia się.</w:t>
      </w:r>
    </w:p>
    <w:p w14:paraId="6E5AC860" w14:textId="749BAD83" w:rsidR="00EC3A11" w:rsidRPr="0049429C" w:rsidRDefault="00EC3A11" w:rsidP="00A52EB6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Organizacja procesu nauczania i uczenia się w przypadku kierunków studiów przygotowujących do wykonywania zawodów, o których mowa w art. 68 ust. 1 ustawy jest zgodna z regułami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i wymaganiami w zakresie sposobu organizacji kształcenia zawartymi w standardach kształcenia określonych w rozporządzeniach wydanych na podstawie art. 68 ust. 3 ustawy</w:t>
      </w:r>
      <w:r w:rsidR="0049429C">
        <w:rPr>
          <w:rFonts w:ascii="Calibri" w:hAnsi="Calibri" w:cs="Calibri"/>
          <w:i/>
          <w:iCs/>
          <w:sz w:val="22"/>
          <w:szCs w:val="22"/>
        </w:rPr>
        <w:t>.</w:t>
      </w:r>
    </w:p>
    <w:p w14:paraId="6A62D6B1" w14:textId="77777777" w:rsidR="00733E7A" w:rsidRPr="00EC3A11" w:rsidRDefault="00733E7A" w:rsidP="00733E7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CD33B0F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3. Przyjęcie na studia, weryfikacja osiągnięcia przez studentów efektów uczenia się, zaliczanie poszczególnych semestrów i lat oraz dyplomowanie </w:t>
      </w:r>
    </w:p>
    <w:p w14:paraId="6B2EE60D" w14:textId="77777777" w:rsidR="00EC3A11" w:rsidRPr="00EC3A11" w:rsidRDefault="00733E7A" w:rsidP="00EC3A11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Zostały określone kompetencje oczekiwane od kandydatów ubiegających się o przyjęcie na studia, zasady progresji studentów i zaliczania poszczególnych semestrów i lat studiów, w tym dyplomowania. Zasady i kryteria przyjęcia na studia umożliwiają właściwy dobór kandydatów. System weryfikacji efektów uczenia się umożliwia monitorowanie postępów w uczeniu się oraz rzetelną i wiarygodną ocenę stopnia osiągnięcia przez studentów efektów uczenia się, a stosowane metody weryfikacji i oceny pozwalają na sprawdzenie i ocenę wszystkich efektów uczenia się, </w:t>
      </w:r>
      <w:r w:rsidRPr="00EC3A11">
        <w:rPr>
          <w:rFonts w:cstheme="minorHAnsi"/>
          <w:sz w:val="22"/>
          <w:szCs w:val="22"/>
        </w:rPr>
        <w:br/>
        <w:t>w tym w szczególności opanowania umiejętności praktycznych i przygotowania do prowadzenia działalności zawodowej w obszarach zawodowego rynku pracy właściwych dla kierunku.</w:t>
      </w:r>
      <w:r w:rsidR="00EC3A11" w:rsidRPr="00EC3A11">
        <w:rPr>
          <w:rFonts w:cstheme="minorHAnsi"/>
          <w:sz w:val="22"/>
          <w:szCs w:val="22"/>
        </w:rPr>
        <w:t xml:space="preserve"> </w:t>
      </w:r>
    </w:p>
    <w:p w14:paraId="0B911176" w14:textId="013C66B4" w:rsidR="00EC3A11" w:rsidRPr="0049429C" w:rsidRDefault="00EC3A11" w:rsidP="00733E7A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>Metody weryfikacji efektów uczenia się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1BDF74F0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695E0A5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4. Kompetencje, doświadczenie, kwalifikacje i liczebność kadry prowadzącej kształcenie oraz rozwój i doskonalenie kadry </w:t>
      </w:r>
    </w:p>
    <w:p w14:paraId="0715DA19" w14:textId="3BD7D667" w:rsid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>Kompetencje i doświadczenie, kwalifikacje oraz liczba nauczycieli akademickich i innych osób prowadzących zajęcia ze studentami zapewniają prawidłową realizację zajęć oraz osiągnięcie przez studentów efektów uczenia się.</w:t>
      </w:r>
      <w:r w:rsidRPr="00EC3A11">
        <w:rPr>
          <w:rFonts w:cstheme="minorHAnsi"/>
          <w:bCs/>
          <w:sz w:val="22"/>
          <w:szCs w:val="22"/>
        </w:rPr>
        <w:t xml:space="preserve"> </w:t>
      </w:r>
    </w:p>
    <w:p w14:paraId="62490036" w14:textId="179B93E7" w:rsidR="00EC3A11" w:rsidRPr="0049429C" w:rsidRDefault="00EC3A11" w:rsidP="00EC3A11">
      <w:pPr>
        <w:spacing w:line="276" w:lineRule="auto"/>
        <w:jc w:val="both"/>
        <w:rPr>
          <w:rFonts w:cstheme="minorHAnsi"/>
          <w:bCs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>Kompetencje i doświadczenie oraz kwalifikacje nauczycieli akademickich i innych osób prowadzących zajęcia ze studentami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7471FDDB" w14:textId="7D4E3965" w:rsidR="00EC3A11" w:rsidRDefault="00733E7A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Planowane działania na rzecz doskonalenia programu studiów oraz zapewnienia jakości kształcenia uwzględniają transparentne i adekwatne do potrzeb związanych z prawidłową realizacją zajęć </w:t>
      </w:r>
      <w:r w:rsidRPr="00EC3A11">
        <w:rPr>
          <w:rFonts w:cstheme="minorHAnsi"/>
          <w:sz w:val="22"/>
          <w:szCs w:val="22"/>
        </w:rPr>
        <w:lastRenderedPageBreak/>
        <w:t>zasady doboru nauczycieli akademickich i innych osób prowadzących zajęcia, systematyczną ocenę kadry prowadzącej kształcenie, realizowaną z udziałem studentów oraz wykorzystywanie wyników oceny w doskonaleniu kadry, jak również kreowanie warunków stymulujących kadrę do ustawicznego rozwoju.</w:t>
      </w:r>
    </w:p>
    <w:p w14:paraId="3CFCD2CD" w14:textId="77777777" w:rsidR="00EC3A11" w:rsidRPr="00EC3A11" w:rsidRDefault="00EC3A11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7D2560B" w14:textId="07B98D65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5. Infrastruktura i zasoby edukacyjne wykorzystywane w realizacji programu studiów oraz ich doskonalenie </w:t>
      </w:r>
    </w:p>
    <w:p w14:paraId="25E7DFFB" w14:textId="77777777" w:rsidR="00EC3A11" w:rsidRPr="00EC3A11" w:rsidRDefault="00733E7A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Infrastruktura dydaktyczna, biblioteczna i informatyczna, wyposażenie techniczne pomieszczeń, środki i pomoce dydaktyczne, zasoby biblioteczne, informacyjne oraz edukacyjne, a także infrastruktura innych podmiotów, w 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</w:t>
      </w:r>
      <w:r w:rsidRPr="00EC3A11">
        <w:rPr>
          <w:rFonts w:cstheme="minorHAnsi"/>
          <w:sz w:val="22"/>
          <w:szCs w:val="22"/>
        </w:rPr>
        <w:br/>
        <w:t>z niepełnosprawnością, w sposób zapewniający tym osobom pełny udział w kształceniu.</w:t>
      </w:r>
      <w:r w:rsidRPr="00EC3A11">
        <w:rPr>
          <w:rFonts w:cstheme="minorHAnsi"/>
          <w:bCs/>
          <w:sz w:val="22"/>
          <w:szCs w:val="22"/>
        </w:rPr>
        <w:t xml:space="preserve"> </w:t>
      </w:r>
    </w:p>
    <w:p w14:paraId="4D50CEC4" w14:textId="6531600D" w:rsidR="00EC3A11" w:rsidRPr="0049429C" w:rsidRDefault="00EC3A11" w:rsidP="00EC3A11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14:paraId="5B3BD9EF" w14:textId="4B88772D" w:rsidR="00733E7A" w:rsidRPr="00EC3A11" w:rsidRDefault="00733E7A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>Planowane działania na rzecz doskonalenia programu studiów oraz zapewnienia jakości kształcenia uwzględniają systematyczne przeglądy infrastruktury dydaktycznej, bibliotecznej i informatycznej, wyposażenia technicznego pomieszczeń, środków i pomocy dydaktycznych, zasobów bibliotecznych, informacyjnych, edukacyjnych, w których uczestniczą studenci oraz wykorzystywanie wyników przeglądów w działaniach doskonalących</w:t>
      </w:r>
      <w:r w:rsidR="00EC112B" w:rsidRPr="00EC3A11">
        <w:rPr>
          <w:rFonts w:cstheme="minorHAnsi"/>
          <w:sz w:val="22"/>
          <w:szCs w:val="22"/>
        </w:rPr>
        <w:t>.</w:t>
      </w:r>
    </w:p>
    <w:p w14:paraId="22247C12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CB874A3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6. Współpraca z otoczeniem społeczno-gospodarczym w konstruowaniu, realizacji i doskonaleniu programu studiów oraz jej wpływ na rozwój kierunku </w:t>
      </w:r>
    </w:p>
    <w:p w14:paraId="7B5F7098" w14:textId="7E28AE2B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sz w:val="22"/>
          <w:szCs w:val="22"/>
        </w:rPr>
        <w:t>Koncepcja kształcenia jest zgodna z potrzebami otoczenia społeczno-gospodarczego</w:t>
      </w:r>
      <w:r w:rsidR="00EC112B" w:rsidRPr="00EC3A11">
        <w:rPr>
          <w:sz w:val="22"/>
          <w:szCs w:val="22"/>
        </w:rPr>
        <w:t>.</w:t>
      </w:r>
    </w:p>
    <w:p w14:paraId="176F8044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2B986CB9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7. Warunki i sposoby podnoszenia stopnia umiędzynarodowienia procesu kształcenia na kierunku </w:t>
      </w:r>
    </w:p>
    <w:p w14:paraId="118FBBA5" w14:textId="79AEA9C5" w:rsidR="00733E7A" w:rsidRPr="00EC3A11" w:rsidRDefault="00733E7A" w:rsidP="00733E7A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Zostały stworzone warunki sprzyjające umiędzynarodowieniu kształcenia na kierunku, zgodnie </w:t>
      </w:r>
      <w:r w:rsidRPr="00EC3A11">
        <w:rPr>
          <w:rFonts w:cstheme="minorHAnsi"/>
          <w:sz w:val="22"/>
          <w:szCs w:val="22"/>
        </w:rPr>
        <w:br/>
        <w:t xml:space="preserve">z przyjętą koncepcją kształcenia, zapewniające studentom osiągniecie efektów uczenia się </w:t>
      </w:r>
      <w:r w:rsidRPr="00EC3A11">
        <w:rPr>
          <w:rFonts w:cstheme="minorHAnsi"/>
          <w:sz w:val="22"/>
          <w:szCs w:val="22"/>
        </w:rPr>
        <w:br/>
        <w:t>w zakresie znajomości języka obcego oraz uwzględnienie w programie studiów zajęć lub grup zajęć prowadzonych w języku obcym</w:t>
      </w:r>
      <w:r w:rsidR="00EC112B" w:rsidRPr="00EC3A11">
        <w:rPr>
          <w:rFonts w:cstheme="minorHAnsi"/>
          <w:sz w:val="22"/>
          <w:szCs w:val="22"/>
        </w:rPr>
        <w:t>.</w:t>
      </w:r>
    </w:p>
    <w:p w14:paraId="521E5287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7050D79C" w14:textId="2B6DF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8. Wsparcie studentów w uczeniu się, rozwoju społecznym, naukowym lub zawodowym i wejściu na rynek pracy oraz rozwój i doskonalenie form wsparcia </w:t>
      </w:r>
    </w:p>
    <w:p w14:paraId="686C8251" w14:textId="7607A449" w:rsidR="00733E7A" w:rsidRPr="00EC3A11" w:rsidRDefault="00733E7A" w:rsidP="00733E7A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Wsparcie studentów w procesie uczenia się jest wszechstronne, przybiera różne formy, adekwatne do efektów uczenia się, uwzględnia zróżnicowane potrzeby studentów, sprzyja rozwojowi społecznemu i zawodowemu studentów poprzez zapewnienie dostępności nauczycieli akademickich, pomoc w procesie uczenia się i osiąganiu efektów uczenia się oraz w przygotowania do prowadzenia działalności zawodowej w obszarach zawodowego rynku pracy właściwych dla kierunku. Planowane działania na rzecz doskonalenia programu studiów oraz zapewnienia jakości kształcenia uwzględniają systematyczne przeglądy systemu wsparcia studentów w procesie uczenia </w:t>
      </w:r>
      <w:r w:rsidRPr="00EC3A11">
        <w:rPr>
          <w:rFonts w:cstheme="minorHAnsi"/>
          <w:sz w:val="22"/>
          <w:szCs w:val="22"/>
        </w:rPr>
        <w:lastRenderedPageBreak/>
        <w:t>się, w których uczestniczą studenci, a wyniki tych przeglądów są wykorzystywane w działaniach doskonalących.</w:t>
      </w:r>
    </w:p>
    <w:p w14:paraId="25D04700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4240A237" w14:textId="77777777"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9. Publiczny dostęp do informacji o programie studiów, warunkach jego realizacji i osiąganych rezultatach </w:t>
      </w:r>
    </w:p>
    <w:p w14:paraId="449C024E" w14:textId="1E366854" w:rsidR="00733E7A" w:rsidRP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Planowane działania na rzecz doskonalenia programu studiów oraz zapewnienia jakości kształcenia uwzględniają zapewnienie publicznego dostępu do aktualnej, kompleksowej, zrozumiałej i zgodnej </w:t>
      </w:r>
      <w:r w:rsidRPr="00EC3A11">
        <w:rPr>
          <w:rFonts w:cstheme="minorHAnsi"/>
          <w:sz w:val="22"/>
          <w:szCs w:val="22"/>
        </w:rPr>
        <w:br/>
        <w:t xml:space="preserve">z potrzebami różnych grup odbiorców informacji o programie studiów i realizacji procesu nauczania </w:t>
      </w:r>
      <w:r w:rsidRPr="00EC3A11">
        <w:rPr>
          <w:rFonts w:cstheme="minorHAnsi"/>
          <w:sz w:val="22"/>
          <w:szCs w:val="22"/>
        </w:rPr>
        <w:br/>
        <w:t>i uczenia się na kierunku, systematyczne oceny publicznego dostępu do informacji, w których uczestniczą studenci i inni odbiorcy informacji oraz wykorzystywanie wyników ocen w działaniach doskonalących.</w:t>
      </w:r>
    </w:p>
    <w:p w14:paraId="30113A83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1FFE74B4" w14:textId="77777777"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10. Polityka jakości, projektowanie, zatwierdzanie, monitorowanie, przegląd i doskonalenie programu studiów </w:t>
      </w:r>
    </w:p>
    <w:p w14:paraId="7FCFF14F" w14:textId="667FB19B" w:rsidR="00733E7A" w:rsidRPr="00EC3A11" w:rsidRDefault="00733E7A" w:rsidP="00733E7A">
      <w:pPr>
        <w:spacing w:before="240" w:after="120"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Planowane działania na rzecz doskonalenia programu studiów uwzględniają zasady projektowania, zatwierdzania i zmiany programu studiów oraz systematyczne oceny programu studiów, oparte </w:t>
      </w:r>
      <w:r w:rsidR="00CE6D83" w:rsidRPr="00EC3A11">
        <w:rPr>
          <w:rFonts w:cstheme="minorHAnsi"/>
          <w:sz w:val="22"/>
          <w:szCs w:val="22"/>
        </w:rPr>
        <w:br/>
      </w:r>
      <w:r w:rsidRPr="00EC3A11">
        <w:rPr>
          <w:rFonts w:cstheme="minorHAnsi"/>
          <w:sz w:val="22"/>
          <w:szCs w:val="22"/>
        </w:rPr>
        <w:t>o wyniki analizy wiarygodnych danych i informacji, z udziałem interesariuszy wewnętrznych, w tym studentów oraz zewnętrznych, mające na celu doskonalenie programu studiów i jakości kształcenia. Planowane działania na rzecz doskonalenia programu studiów oraz zapewnienia jakości kształcenia uwzględniają cykliczne zewnętrzne oceny jakości kształcenia, których wyniki są publicznie dostępne i wykorzystywane w doskonaleniu jakości.</w:t>
      </w:r>
    </w:p>
    <w:p w14:paraId="7A79A7D9" w14:textId="77777777" w:rsidR="00733E7A" w:rsidRPr="00EC3A11" w:rsidRDefault="00733E7A" w:rsidP="00733E7A">
      <w:pPr>
        <w:spacing w:after="160" w:line="259" w:lineRule="auto"/>
        <w:rPr>
          <w:rFonts w:cstheme="minorHAnsi"/>
          <w:sz w:val="22"/>
        </w:rPr>
      </w:pPr>
    </w:p>
    <w:bookmarkEnd w:id="2"/>
    <w:p w14:paraId="15DE320D" w14:textId="77777777" w:rsidR="00CB3F03" w:rsidRPr="00EC3A11" w:rsidRDefault="00CB3F03" w:rsidP="00130B55">
      <w:pPr>
        <w:pStyle w:val="PKA-tekstcigy"/>
        <w:ind w:left="0"/>
      </w:pPr>
    </w:p>
    <w:sectPr w:rsidR="00CB3F03" w:rsidRPr="00EC3A11" w:rsidSect="00D93B9A">
      <w:headerReference w:type="first" r:id="rId12"/>
      <w:pgSz w:w="11900" w:h="16840"/>
      <w:pgMar w:top="-539" w:right="1694" w:bottom="1476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AB484" w14:textId="77777777" w:rsidR="00C11D7C" w:rsidRDefault="00C11D7C" w:rsidP="00EF7C77">
      <w:r>
        <w:separator/>
      </w:r>
    </w:p>
  </w:endnote>
  <w:endnote w:type="continuationSeparator" w:id="0">
    <w:p w14:paraId="5644FBCB" w14:textId="77777777" w:rsidR="00C11D7C" w:rsidRDefault="00C11D7C" w:rsidP="00E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3FAD" w14:textId="77777777" w:rsidR="00C11D7C" w:rsidRDefault="00C11D7C" w:rsidP="00EF7C77">
      <w:r>
        <w:separator/>
      </w:r>
    </w:p>
  </w:footnote>
  <w:footnote w:type="continuationSeparator" w:id="0">
    <w:p w14:paraId="3F82259D" w14:textId="77777777" w:rsidR="00C11D7C" w:rsidRDefault="00C11D7C" w:rsidP="00EF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1" w:type="dxa"/>
      <w:tblLook w:val="01E0" w:firstRow="1" w:lastRow="1" w:firstColumn="1" w:lastColumn="1" w:noHBand="0" w:noVBand="0"/>
    </w:tblPr>
    <w:tblGrid>
      <w:gridCol w:w="1361"/>
    </w:tblGrid>
    <w:tr w:rsidR="0049429C" w14:paraId="37BBF0CD" w14:textId="77777777" w:rsidTr="0049429C">
      <w:trPr>
        <w:trHeight w:val="1271"/>
      </w:trPr>
      <w:tc>
        <w:tcPr>
          <w:tcW w:w="1361" w:type="dxa"/>
          <w:vMerge w:val="restart"/>
        </w:tcPr>
        <w:p w14:paraId="1E46A71B" w14:textId="3E3EB71E" w:rsidR="0049429C" w:rsidRDefault="0049429C" w:rsidP="002F6B95">
          <w:pPr>
            <w:rPr>
              <w:b/>
            </w:rPr>
          </w:pPr>
        </w:p>
      </w:tc>
    </w:tr>
    <w:tr w:rsidR="0049429C" w14:paraId="55CB3F09" w14:textId="77777777" w:rsidTr="00D93B9A">
      <w:trPr>
        <w:trHeight w:val="293"/>
      </w:trPr>
      <w:tc>
        <w:tcPr>
          <w:tcW w:w="1361" w:type="dxa"/>
          <w:vMerge/>
        </w:tcPr>
        <w:p w14:paraId="4011B965" w14:textId="77777777" w:rsidR="0049429C" w:rsidRDefault="0049429C" w:rsidP="002F6B95">
          <w:pPr>
            <w:rPr>
              <w:noProof/>
            </w:rPr>
          </w:pPr>
        </w:p>
      </w:tc>
    </w:tr>
  </w:tbl>
  <w:p w14:paraId="713E1C17" w14:textId="77777777" w:rsidR="002105BE" w:rsidRDefault="00210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4D55"/>
    <w:multiLevelType w:val="hybridMultilevel"/>
    <w:tmpl w:val="1C9AA5C6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302251"/>
    <w:multiLevelType w:val="hybridMultilevel"/>
    <w:tmpl w:val="7F36B8F4"/>
    <w:lvl w:ilvl="0" w:tplc="CC848B1E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545507A"/>
    <w:multiLevelType w:val="hybridMultilevel"/>
    <w:tmpl w:val="4C12D18C"/>
    <w:lvl w:ilvl="0" w:tplc="C9B26DB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8391524"/>
    <w:multiLevelType w:val="hybridMultilevel"/>
    <w:tmpl w:val="E318915A"/>
    <w:lvl w:ilvl="0" w:tplc="9E9A122E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3027529"/>
    <w:multiLevelType w:val="hybridMultilevel"/>
    <w:tmpl w:val="E77E5128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0F04E27"/>
    <w:multiLevelType w:val="hybridMultilevel"/>
    <w:tmpl w:val="E702D2D2"/>
    <w:lvl w:ilvl="0" w:tplc="265E6B32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2D67F44"/>
    <w:multiLevelType w:val="hybridMultilevel"/>
    <w:tmpl w:val="3AEA7FE0"/>
    <w:lvl w:ilvl="0" w:tplc="610808E2">
      <w:start w:val="1"/>
      <w:numFmt w:val="decimal"/>
      <w:lvlText w:val="%1."/>
      <w:lvlJc w:val="left"/>
      <w:pPr>
        <w:ind w:left="1780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476C07"/>
    <w:multiLevelType w:val="hybridMultilevel"/>
    <w:tmpl w:val="2D2E959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7"/>
    <w:rsid w:val="000166D1"/>
    <w:rsid w:val="000519FE"/>
    <w:rsid w:val="00065FA0"/>
    <w:rsid w:val="00083C2C"/>
    <w:rsid w:val="000A3C72"/>
    <w:rsid w:val="000C666C"/>
    <w:rsid w:val="000C6F27"/>
    <w:rsid w:val="000D1D56"/>
    <w:rsid w:val="000D7277"/>
    <w:rsid w:val="000E5D2E"/>
    <w:rsid w:val="00102AAD"/>
    <w:rsid w:val="00104076"/>
    <w:rsid w:val="001104C3"/>
    <w:rsid w:val="00111D1D"/>
    <w:rsid w:val="00130B55"/>
    <w:rsid w:val="00150DB4"/>
    <w:rsid w:val="00165580"/>
    <w:rsid w:val="0018081C"/>
    <w:rsid w:val="001D1312"/>
    <w:rsid w:val="001D322C"/>
    <w:rsid w:val="002105BE"/>
    <w:rsid w:val="00237C25"/>
    <w:rsid w:val="002558B2"/>
    <w:rsid w:val="00256815"/>
    <w:rsid w:val="002743F3"/>
    <w:rsid w:val="00275161"/>
    <w:rsid w:val="002958FE"/>
    <w:rsid w:val="00297D9F"/>
    <w:rsid w:val="002E6DC7"/>
    <w:rsid w:val="002F6B95"/>
    <w:rsid w:val="00342E8A"/>
    <w:rsid w:val="00347943"/>
    <w:rsid w:val="00387327"/>
    <w:rsid w:val="003A37EB"/>
    <w:rsid w:val="003B4BE6"/>
    <w:rsid w:val="003E7541"/>
    <w:rsid w:val="0040014B"/>
    <w:rsid w:val="0049429C"/>
    <w:rsid w:val="004B0DC1"/>
    <w:rsid w:val="004C14BF"/>
    <w:rsid w:val="004C29BF"/>
    <w:rsid w:val="00550095"/>
    <w:rsid w:val="00551FEF"/>
    <w:rsid w:val="005769F8"/>
    <w:rsid w:val="005A3871"/>
    <w:rsid w:val="00634728"/>
    <w:rsid w:val="006A20B2"/>
    <w:rsid w:val="006C23D3"/>
    <w:rsid w:val="006E6BDE"/>
    <w:rsid w:val="006F2AB8"/>
    <w:rsid w:val="00733E7A"/>
    <w:rsid w:val="00734DD0"/>
    <w:rsid w:val="007469A9"/>
    <w:rsid w:val="00777550"/>
    <w:rsid w:val="007932D7"/>
    <w:rsid w:val="007C05D6"/>
    <w:rsid w:val="007D5E1B"/>
    <w:rsid w:val="007F4B23"/>
    <w:rsid w:val="008228B2"/>
    <w:rsid w:val="00843B60"/>
    <w:rsid w:val="008A1F00"/>
    <w:rsid w:val="008D0B9F"/>
    <w:rsid w:val="008D2FBB"/>
    <w:rsid w:val="008D62BB"/>
    <w:rsid w:val="009341ED"/>
    <w:rsid w:val="00984174"/>
    <w:rsid w:val="009B3551"/>
    <w:rsid w:val="009B5E97"/>
    <w:rsid w:val="009C754B"/>
    <w:rsid w:val="00A2776A"/>
    <w:rsid w:val="00A41360"/>
    <w:rsid w:val="00A52EB6"/>
    <w:rsid w:val="00A6150C"/>
    <w:rsid w:val="00A67EC4"/>
    <w:rsid w:val="00A775C5"/>
    <w:rsid w:val="00A84345"/>
    <w:rsid w:val="00A86188"/>
    <w:rsid w:val="00AB3A15"/>
    <w:rsid w:val="00AB430A"/>
    <w:rsid w:val="00AE0551"/>
    <w:rsid w:val="00B0224D"/>
    <w:rsid w:val="00B44401"/>
    <w:rsid w:val="00B45469"/>
    <w:rsid w:val="00BA7517"/>
    <w:rsid w:val="00BB459A"/>
    <w:rsid w:val="00BB5448"/>
    <w:rsid w:val="00BC2A89"/>
    <w:rsid w:val="00BF6AF0"/>
    <w:rsid w:val="00C020A3"/>
    <w:rsid w:val="00C02941"/>
    <w:rsid w:val="00C11D7C"/>
    <w:rsid w:val="00C82561"/>
    <w:rsid w:val="00CB3F03"/>
    <w:rsid w:val="00CC0522"/>
    <w:rsid w:val="00CE6D83"/>
    <w:rsid w:val="00CF7BEF"/>
    <w:rsid w:val="00D0055A"/>
    <w:rsid w:val="00D0411D"/>
    <w:rsid w:val="00D14897"/>
    <w:rsid w:val="00D16BDE"/>
    <w:rsid w:val="00D359FC"/>
    <w:rsid w:val="00D54632"/>
    <w:rsid w:val="00D72183"/>
    <w:rsid w:val="00D82F5B"/>
    <w:rsid w:val="00D93B9A"/>
    <w:rsid w:val="00DA2844"/>
    <w:rsid w:val="00DB02C2"/>
    <w:rsid w:val="00DC0D8A"/>
    <w:rsid w:val="00DC6A5A"/>
    <w:rsid w:val="00DD4042"/>
    <w:rsid w:val="00DE2EAE"/>
    <w:rsid w:val="00E05271"/>
    <w:rsid w:val="00E15BB8"/>
    <w:rsid w:val="00E95C99"/>
    <w:rsid w:val="00EA6237"/>
    <w:rsid w:val="00EA634F"/>
    <w:rsid w:val="00EC112B"/>
    <w:rsid w:val="00EC3A11"/>
    <w:rsid w:val="00EF7C77"/>
    <w:rsid w:val="00FA1A88"/>
    <w:rsid w:val="00FD285B"/>
    <w:rsid w:val="00FD342D"/>
    <w:rsid w:val="546D9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70B2B"/>
  <w15:chartTrackingRefBased/>
  <w15:docId w15:val="{8136C5E7-A3AB-D84A-911E-E7BE831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3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aliases w:val="Nagłówek PKA"/>
    <w:basedOn w:val="Normalny"/>
    <w:next w:val="Normalny"/>
    <w:link w:val="Nagwek4Znak"/>
    <w:qFormat/>
    <w:rsid w:val="00BB459A"/>
    <w:pPr>
      <w:keepNext/>
      <w:spacing w:before="120" w:after="120"/>
      <w:jc w:val="center"/>
      <w:outlineLvl w:val="3"/>
    </w:pPr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A-tekstcigy">
    <w:name w:val="PKA- tekst ciągły"/>
    <w:autoRedefine/>
    <w:qFormat/>
    <w:rsid w:val="004C29BF"/>
    <w:pPr>
      <w:tabs>
        <w:tab w:val="decimal" w:pos="1418"/>
      </w:tabs>
      <w:spacing w:before="40" w:line="276" w:lineRule="auto"/>
      <w:ind w:left="1418"/>
      <w:jc w:val="both"/>
    </w:pPr>
    <w:rPr>
      <w:rFonts w:ascii="Calibri" w:eastAsia="Times New Roman" w:hAnsi="Calibri" w:cs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77"/>
  </w:style>
  <w:style w:type="paragraph" w:styleId="Stopka">
    <w:name w:val="footer"/>
    <w:basedOn w:val="Normalny"/>
    <w:link w:val="Stopka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77"/>
  </w:style>
  <w:style w:type="paragraph" w:styleId="Tekstdymka">
    <w:name w:val="Balloon Text"/>
    <w:basedOn w:val="Normalny"/>
    <w:link w:val="TekstdymkaZnak"/>
    <w:uiPriority w:val="99"/>
    <w:semiHidden/>
    <w:unhideWhenUsed/>
    <w:rsid w:val="00EF7C7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77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67EC4"/>
    <w:rPr>
      <w:color w:val="0000FF"/>
      <w:u w:val="single"/>
    </w:rPr>
  </w:style>
  <w:style w:type="character" w:customStyle="1" w:styleId="Nagwek4Znak">
    <w:name w:val="Nagłówek 4 Znak"/>
    <w:aliases w:val="Nagłówek PKA Znak"/>
    <w:basedOn w:val="Domylnaczcionkaakapitu"/>
    <w:link w:val="Nagwek4"/>
    <w:rsid w:val="00BB459A"/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7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7E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3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5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7C25"/>
  </w:style>
  <w:style w:type="paragraph" w:styleId="Akapitzlist">
    <w:name w:val="List Paragraph"/>
    <w:basedOn w:val="Normalny"/>
    <w:uiPriority w:val="34"/>
    <w:qFormat/>
    <w:rsid w:val="00102A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3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733E7A"/>
    <w:pPr>
      <w:widowControl w:val="0"/>
      <w:spacing w:before="120"/>
      <w:ind w:left="560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E7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KA-STRONA1">
    <w:name w:val="PKA- STRONA 1"/>
    <w:basedOn w:val="Normalny"/>
    <w:qFormat/>
    <w:rsid w:val="00733E7A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3E7A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33E7A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733E7A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customStyle="1" w:styleId="paragraph">
    <w:name w:val="paragraph"/>
    <w:basedOn w:val="Normalny"/>
    <w:rsid w:val="00D93B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D93B9A"/>
  </w:style>
  <w:style w:type="character" w:customStyle="1" w:styleId="eop">
    <w:name w:val="eop"/>
    <w:basedOn w:val="Domylnaczcionkaakapitu"/>
    <w:rsid w:val="00D9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4" ma:contentTypeDescription="Utwórz nowy dokument." ma:contentTypeScope="" ma:versionID="325fd62d1a0c4ecbfcfc397772a855ac">
  <xsd:schema xmlns:xsd="http://www.w3.org/2001/XMLSchema" xmlns:xs="http://www.w3.org/2001/XMLSchema" xmlns:p="http://schemas.microsoft.com/office/2006/metadata/properties" xmlns:ns2="81aa00a4-7317-4c43-8f66-fdca76d595cc" xmlns:ns3="8a354655-d29f-4984-95b3-795111d04857" targetNamespace="http://schemas.microsoft.com/office/2006/metadata/properties" ma:root="true" ma:fieldsID="2076e8864bd0df72247dc7c97c7ce3e0" ns2:_="" ns3:_="">
    <xsd:import namespace="81aa00a4-7317-4c43-8f66-fdca76d595cc"/>
    <xsd:import namespace="8a354655-d29f-4984-95b3-795111d0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4655-d29f-4984-95b3-795111d0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7CDB1F-5396-42C8-AD90-BDBBC77EEED0}"/>
</file>

<file path=customXml/itemProps2.xml><?xml version="1.0" encoding="utf-8"?>
<ds:datastoreItem xmlns:ds="http://schemas.openxmlformats.org/officeDocument/2006/customXml" ds:itemID="{A938AE40-6953-4362-82A6-56EDF9964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8BFC0-9023-4B76-A758-EE8D37186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C08401-E599-4AED-9DEB-F6B35C94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dc:description/>
  <cp:lastModifiedBy>Wioletta Marszelewska</cp:lastModifiedBy>
  <cp:revision>43</cp:revision>
  <cp:lastPrinted>2019-09-10T14:29:00Z</cp:lastPrinted>
  <dcterms:created xsi:type="dcterms:W3CDTF">2019-05-22T21:02:00Z</dcterms:created>
  <dcterms:modified xsi:type="dcterms:W3CDTF">2019-09-22T18:29:00Z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