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F8CF" w14:textId="77777777" w:rsidR="000A29BB" w:rsidRDefault="000A29BB" w:rsidP="000A29BB">
      <w:pPr>
        <w:pStyle w:val="Tytu"/>
      </w:pPr>
      <w:r>
        <w:t>Analiza procesu ankietyzacji.</w:t>
      </w:r>
    </w:p>
    <w:p w14:paraId="4F9AE98D" w14:textId="77777777" w:rsidR="000A29BB" w:rsidRPr="008C25F6" w:rsidRDefault="000A29BB" w:rsidP="000A29BB">
      <w:pPr>
        <w:pStyle w:val="Tytu"/>
      </w:pPr>
      <w:r w:rsidRPr="008C25F6">
        <w:t>I kwartał 20</w:t>
      </w:r>
      <w:r w:rsidR="001670F6">
        <w:t>20</w:t>
      </w:r>
      <w:r w:rsidRPr="008C25F6">
        <w:t xml:space="preserve"> r.</w:t>
      </w:r>
    </w:p>
    <w:p w14:paraId="04FEA396" w14:textId="4F935B36" w:rsidR="000A29BB" w:rsidRDefault="001670F6" w:rsidP="000A29BB">
      <w:pPr>
        <w:ind w:firstLine="708"/>
        <w:jc w:val="both"/>
      </w:pPr>
      <w:r>
        <w:t>W pierwszym kwartale roku 2020</w:t>
      </w:r>
      <w:r w:rsidR="000A29BB">
        <w:t xml:space="preserve"> do Biura PKA wpłynęło </w:t>
      </w:r>
      <w:r w:rsidR="00ED6497">
        <w:t>16</w:t>
      </w:r>
      <w:r w:rsidR="000A29BB">
        <w:t xml:space="preserve"> kwestionariuszy ankietowych.</w:t>
      </w:r>
    </w:p>
    <w:p w14:paraId="37D67168" w14:textId="25580064" w:rsidR="000A29BB" w:rsidRDefault="00ED6497" w:rsidP="000A29BB">
      <w:pPr>
        <w:jc w:val="both"/>
      </w:pPr>
      <w:r>
        <w:rPr>
          <w:noProof/>
        </w:rPr>
        <w:drawing>
          <wp:inline distT="0" distB="0" distL="0" distR="0" wp14:anchorId="6EBB0063" wp14:editId="4AA13416">
            <wp:extent cx="5743575" cy="2133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97A4C" w14:textId="77777777" w:rsidR="000E5E11" w:rsidRDefault="000E5E11" w:rsidP="000A29BB">
      <w:pPr>
        <w:jc w:val="both"/>
      </w:pPr>
    </w:p>
    <w:p w14:paraId="24659572" w14:textId="2E9F7E65" w:rsidR="000A29BB" w:rsidRDefault="00ED6497" w:rsidP="000A29BB">
      <w:pPr>
        <w:jc w:val="both"/>
      </w:pPr>
      <w:r>
        <w:rPr>
          <w:noProof/>
        </w:rPr>
        <w:drawing>
          <wp:inline distT="0" distB="0" distL="0" distR="0" wp14:anchorId="1CDB7A96" wp14:editId="582C17F2">
            <wp:extent cx="5753100" cy="3162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2F61A" w14:textId="77777777" w:rsidR="000A29BB" w:rsidRDefault="000A29BB" w:rsidP="000A29BB">
      <w:pPr>
        <w:jc w:val="both"/>
      </w:pPr>
    </w:p>
    <w:p w14:paraId="20482C6C" w14:textId="77777777" w:rsidR="000A29BB" w:rsidRDefault="000A29BB" w:rsidP="000A29BB">
      <w:pPr>
        <w:jc w:val="both"/>
      </w:pPr>
    </w:p>
    <w:p w14:paraId="0BDCF112" w14:textId="77777777" w:rsidR="000A29BB" w:rsidRDefault="000A29BB" w:rsidP="000A29BB">
      <w:pPr>
        <w:jc w:val="both"/>
      </w:pPr>
    </w:p>
    <w:p w14:paraId="3618FE1B" w14:textId="77777777" w:rsidR="000A29BB" w:rsidRPr="00D819C0" w:rsidRDefault="006A3CB7" w:rsidP="000A29BB">
      <w:pPr>
        <w:pStyle w:val="Nagwek3"/>
      </w:pPr>
      <w:r>
        <w:br w:type="column"/>
      </w:r>
      <w:r w:rsidR="000A29BB" w:rsidRPr="00D819C0">
        <w:lastRenderedPageBreak/>
        <w:t xml:space="preserve">Wyniki </w:t>
      </w:r>
      <w:r w:rsidR="000A29BB">
        <w:t>odpowiedzi na pytania zamknięte</w:t>
      </w:r>
    </w:p>
    <w:p w14:paraId="77D91EFB" w14:textId="003A149C" w:rsidR="000A29BB" w:rsidRDefault="000A29BB" w:rsidP="000A29BB">
      <w:pPr>
        <w:ind w:firstLine="360"/>
        <w:jc w:val="both"/>
      </w:pPr>
      <w:r>
        <w:t xml:space="preserve">Wyniki osiągnięte przez PKA są – podobnie jak w latach ubiegłych – bardzo dobre. Oceny bardzo dobre </w:t>
      </w:r>
      <w:r w:rsidR="006A3CB7">
        <w:t xml:space="preserve">stanowią </w:t>
      </w:r>
      <w:r w:rsidR="002434E6">
        <w:t>niemal 90</w:t>
      </w:r>
      <w:r w:rsidR="006A3CB7">
        <w:t xml:space="preserve">% </w:t>
      </w:r>
      <w:r w:rsidR="007121FF">
        <w:t xml:space="preserve">wszystkich not, oceny dobre ponad </w:t>
      </w:r>
      <w:r w:rsidR="002434E6">
        <w:t>7</w:t>
      </w:r>
      <w:r w:rsidR="00066045">
        <w:t xml:space="preserve">%. </w:t>
      </w:r>
      <w:r w:rsidR="006A3CB7">
        <w:t>O</w:t>
      </w:r>
      <w:r>
        <w:t>ceny poniżej „</w:t>
      </w:r>
      <w:r w:rsidR="00066045">
        <w:t>4</w:t>
      </w:r>
      <w:r>
        <w:t xml:space="preserve">” </w:t>
      </w:r>
      <w:r w:rsidR="002434E6">
        <w:t>stanowiły łącznie niemal 3%</w:t>
      </w:r>
      <w:r>
        <w:t>.</w:t>
      </w:r>
    </w:p>
    <w:p w14:paraId="5F8686D5" w14:textId="4941A9F8" w:rsidR="000A29BB" w:rsidRDefault="00ED6497" w:rsidP="002E6BE2">
      <w:pPr>
        <w:ind w:firstLine="360"/>
        <w:jc w:val="center"/>
      </w:pPr>
      <w:r>
        <w:rPr>
          <w:noProof/>
        </w:rPr>
        <w:drawing>
          <wp:inline distT="0" distB="0" distL="0" distR="0" wp14:anchorId="7461C1B6" wp14:editId="24E2867C">
            <wp:extent cx="4572000" cy="26593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F78C3" w14:textId="77777777" w:rsidR="000A29BB" w:rsidRDefault="000A29BB" w:rsidP="000A29BB">
      <w:pPr>
        <w:jc w:val="both"/>
      </w:pPr>
      <w:r>
        <w:t>Szczegółowa lista pytań zamkniętych oraz wskazania respondentów przedstawione zostały poniżej:</w:t>
      </w:r>
    </w:p>
    <w:p w14:paraId="6BF8B371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Biuro PKA przysłało Państwu informację o planowanej wizytacji wystarczająco wcześnie, aby można się było do niej dobrze przygotować?</w:t>
      </w:r>
    </w:p>
    <w:p w14:paraId="3F08F7C1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Państwa zdaniem członkowie zespołu wnikliwie zapoznali się przed wizytacją z Raportem Samooceny? Jeśli odpowiedź jest negatywna prosimy o krótkie uzasadnienie.</w:t>
      </w:r>
    </w:p>
    <w:p w14:paraId="56156AC6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zakres przedmiotowy wizytacji pozwolił na sprawną i rzetelną ocenę jakości kształcenia?</w:t>
      </w:r>
    </w:p>
    <w:p w14:paraId="0EAE0899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czas trwania wizytacji pozwolił na sprawną i rzetelną ocenę jakości kształcenia?</w:t>
      </w:r>
    </w:p>
    <w:p w14:paraId="458C80D1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zespół wizytujący formułował swoje oczekiwania w sposób zrozumiały?</w:t>
      </w:r>
    </w:p>
    <w:p w14:paraId="3A36A459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zespół wizytujący formułował swoje oczekiwania w sposób zgodny z obowiązującymi przepisami prawa?</w:t>
      </w:r>
    </w:p>
    <w:p w14:paraId="5D4BBCAD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postawa i zachowanie członków zespołu oceniającego w trakcie całej wizytacji świadczyły o poszanowaniu standardów etycznych?</w:t>
      </w:r>
    </w:p>
    <w:p w14:paraId="3D922A97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podsumowanie pracy zespołu oceniającego podczas spotkania z władzami uczelni było poparte rzeczową i obiektywną argumentacją?</w:t>
      </w:r>
    </w:p>
    <w:p w14:paraId="2B78B25B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wizytacja okazał się pomocna w rozwiązywaniu bieżących problemów dotyczących ocenianego kierunku / jednostki?</w:t>
      </w:r>
    </w:p>
    <w:p w14:paraId="505F1C2F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Czy wizytacja okazała się pomocna w ukierunkowywaniu ewentualnych zmian?</w:t>
      </w:r>
    </w:p>
    <w:p w14:paraId="6BC909B8" w14:textId="77777777" w:rsidR="000A29BB" w:rsidRPr="00870E2E" w:rsidRDefault="000A29BB" w:rsidP="000A29BB">
      <w:pPr>
        <w:pStyle w:val="Akapitzlist"/>
        <w:numPr>
          <w:ilvl w:val="0"/>
          <w:numId w:val="1"/>
        </w:numPr>
        <w:jc w:val="both"/>
        <w:rPr>
          <w:i/>
        </w:rPr>
      </w:pPr>
      <w:r w:rsidRPr="00870E2E">
        <w:rPr>
          <w:i/>
        </w:rPr>
        <w:t>Jak ogólnie oceniają Państwo jakość pracy zespołu oceniającego?</w:t>
      </w:r>
    </w:p>
    <w:p w14:paraId="1A86BF19" w14:textId="77777777" w:rsidR="000A29BB" w:rsidRDefault="000A29BB" w:rsidP="000A29BB">
      <w:pPr>
        <w:pStyle w:val="Akapitzlist"/>
        <w:ind w:left="1080"/>
        <w:jc w:val="both"/>
      </w:pPr>
    </w:p>
    <w:p w14:paraId="3E5DE13F" w14:textId="4CDFFADC" w:rsidR="000A29BB" w:rsidRDefault="002434E6" w:rsidP="000A29BB">
      <w:pPr>
        <w:jc w:val="both"/>
      </w:pPr>
      <w:r>
        <w:rPr>
          <w:noProof/>
        </w:rPr>
        <w:lastRenderedPageBreak/>
        <w:drawing>
          <wp:inline distT="0" distB="0" distL="0" distR="0" wp14:anchorId="383C5827" wp14:editId="034017DC">
            <wp:extent cx="5707380" cy="318516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18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70C73" w14:textId="77777777" w:rsidR="000A29BB" w:rsidRPr="00D725D3" w:rsidRDefault="000A29BB" w:rsidP="000A29BB">
      <w:pPr>
        <w:pStyle w:val="Nagwek3"/>
      </w:pPr>
      <w:r w:rsidRPr="0039735A">
        <w:t>Analiz</w:t>
      </w:r>
      <w:r>
        <w:t>a odpowiedzi na pytania otwarte ORAZ POdZIAŁ ANKIET na ZESPOŁY</w:t>
      </w:r>
    </w:p>
    <w:p w14:paraId="67C55418" w14:textId="63ACC5A9" w:rsidR="000A29BB" w:rsidRDefault="000A29BB" w:rsidP="000A29BB">
      <w:pPr>
        <w:jc w:val="both"/>
      </w:pPr>
      <w:r>
        <w:t xml:space="preserve">Ze względu na </w:t>
      </w:r>
      <w:r w:rsidR="002434E6">
        <w:t>niewielką</w:t>
      </w:r>
      <w:r>
        <w:t xml:space="preserve"> próbę odstąpiono od analizy odpowiedzi w ramach poszczególnych zespołów oraz szczegółowej analizy odpowiedzi na pytania otwarte.</w:t>
      </w:r>
      <w:r w:rsidR="006F08B0">
        <w:t xml:space="preserve"> Celem monitorowania zastrzeżeń zgłaszanych odnoście do pracy zespołów oceniających warto jednak zwrócić uwagę na sformułowane dla rozpatrywanego okresu sprawozdawczego uwagi, przytoczone</w:t>
      </w:r>
      <w:r w:rsidR="00324A50">
        <w:t xml:space="preserve"> </w:t>
      </w:r>
      <w:r w:rsidR="006F08B0">
        <w:t>poniżej jako cytaty:</w:t>
      </w:r>
    </w:p>
    <w:p w14:paraId="1837FF07" w14:textId="7C593C89" w:rsidR="00066045" w:rsidRDefault="003E3ACB" w:rsidP="00066045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W</w:t>
      </w:r>
      <w:r w:rsidR="00066045" w:rsidRPr="00066045">
        <w:rPr>
          <w:i/>
        </w:rPr>
        <w:t>ydłużyć czas wizytacji</w:t>
      </w:r>
      <w:r w:rsidR="00402CF3">
        <w:rPr>
          <w:i/>
        </w:rPr>
        <w:t>.</w:t>
      </w:r>
    </w:p>
    <w:p w14:paraId="373F6F02" w14:textId="74DA9A8A" w:rsidR="00066045" w:rsidRPr="003E3ACB" w:rsidRDefault="00066045" w:rsidP="003E3ACB">
      <w:pPr>
        <w:pStyle w:val="Akapitzlist"/>
        <w:numPr>
          <w:ilvl w:val="0"/>
          <w:numId w:val="2"/>
        </w:numPr>
        <w:jc w:val="both"/>
        <w:rPr>
          <w:i/>
        </w:rPr>
      </w:pPr>
      <w:r w:rsidRPr="00066045">
        <w:rPr>
          <w:i/>
        </w:rPr>
        <w:t>Być może zwiększenie ramy czasowej dla wizytacji, ze względu na przeciążenie Komisji obowiązkami, które musiała wypełnić w ograniczonej ramie czasowej.</w:t>
      </w:r>
      <w:r w:rsidR="003E3ACB">
        <w:rPr>
          <w:i/>
        </w:rPr>
        <w:t xml:space="preserve"> </w:t>
      </w:r>
    </w:p>
    <w:p w14:paraId="179273CD" w14:textId="7520A321" w:rsidR="00066045" w:rsidRPr="003E3ACB" w:rsidRDefault="00066045" w:rsidP="003E3ACB">
      <w:pPr>
        <w:pStyle w:val="Akapitzlist"/>
        <w:numPr>
          <w:ilvl w:val="0"/>
          <w:numId w:val="2"/>
        </w:numPr>
        <w:jc w:val="both"/>
        <w:rPr>
          <w:i/>
        </w:rPr>
      </w:pPr>
      <w:r w:rsidRPr="00066045">
        <w:rPr>
          <w:i/>
        </w:rPr>
        <w:t>Sprecyzować kryteria oceny współpracy z otoczeniem społeczno-gospodarczym (dostosowane do specyfiki ocenianych kierunków).</w:t>
      </w:r>
    </w:p>
    <w:p w14:paraId="68712B4E" w14:textId="75020D72" w:rsidR="00066045" w:rsidRPr="003E3ACB" w:rsidRDefault="00066045" w:rsidP="003E3ACB">
      <w:pPr>
        <w:pStyle w:val="Akapitzlist"/>
        <w:numPr>
          <w:ilvl w:val="0"/>
          <w:numId w:val="2"/>
        </w:numPr>
        <w:jc w:val="both"/>
        <w:rPr>
          <w:i/>
        </w:rPr>
      </w:pPr>
      <w:r w:rsidRPr="00066045">
        <w:rPr>
          <w:i/>
        </w:rPr>
        <w:t>Z punktu widzenia jednostki oceniającej, zespół pracow</w:t>
      </w:r>
      <w:r w:rsidR="003E3ACB">
        <w:rPr>
          <w:i/>
        </w:rPr>
        <w:t>ał w sposób sprawny, rzeczowy i </w:t>
      </w:r>
      <w:r w:rsidRPr="00066045">
        <w:rPr>
          <w:i/>
        </w:rPr>
        <w:t>kompetentny. Ewentualne zmiany należało</w:t>
      </w:r>
      <w:r w:rsidR="003E3ACB">
        <w:rPr>
          <w:i/>
        </w:rPr>
        <w:t xml:space="preserve"> </w:t>
      </w:r>
      <w:r w:rsidRPr="00066045">
        <w:rPr>
          <w:i/>
        </w:rPr>
        <w:t>by wprowadzić w samym arkuszu wypełnianym przez uczelnie przed rozpoczęciem wizytacji.</w:t>
      </w:r>
      <w:r w:rsidR="003E3ACB">
        <w:rPr>
          <w:i/>
        </w:rPr>
        <w:t xml:space="preserve"> </w:t>
      </w:r>
    </w:p>
    <w:p w14:paraId="58973324" w14:textId="63036488" w:rsidR="00066045" w:rsidRPr="003E3ACB" w:rsidRDefault="00066045" w:rsidP="003E3ACB">
      <w:pPr>
        <w:pStyle w:val="Akapitzlist"/>
        <w:numPr>
          <w:ilvl w:val="0"/>
          <w:numId w:val="2"/>
        </w:numPr>
        <w:jc w:val="both"/>
        <w:rPr>
          <w:i/>
        </w:rPr>
      </w:pPr>
      <w:r w:rsidRPr="00066045">
        <w:rPr>
          <w:i/>
        </w:rPr>
        <w:t>Wzór raportu samooceny powinien być opracowany bardziej starannie i w sposób bardziej przejrzysty.</w:t>
      </w:r>
      <w:r w:rsidR="003E3ACB">
        <w:rPr>
          <w:i/>
        </w:rPr>
        <w:t xml:space="preserve"> </w:t>
      </w:r>
    </w:p>
    <w:p w14:paraId="3B91C3D2" w14:textId="40C3A716" w:rsidR="00066045" w:rsidRPr="003E3ACB" w:rsidRDefault="003E3ACB" w:rsidP="003E3ACB">
      <w:pPr>
        <w:pStyle w:val="Akapitzlist"/>
        <w:numPr>
          <w:ilvl w:val="0"/>
          <w:numId w:val="2"/>
        </w:numPr>
        <w:jc w:val="both"/>
        <w:rPr>
          <w:i/>
        </w:rPr>
      </w:pPr>
      <w:r w:rsidRPr="003E3ACB">
        <w:rPr>
          <w:i/>
        </w:rPr>
        <w:t>(…)</w:t>
      </w:r>
      <w:r w:rsidR="00066045" w:rsidRPr="00066045">
        <w:rPr>
          <w:i/>
        </w:rPr>
        <w:t xml:space="preserve"> wątpliwości budzi arkusz samooceny jednostki. Podpowiedzi w nim zawarte nie zawsze odnoszą się do specyfiki ocenianego kierunku a także do kr</w:t>
      </w:r>
      <w:r>
        <w:rPr>
          <w:i/>
        </w:rPr>
        <w:t>yteriów, podlegających ocenie w </w:t>
      </w:r>
      <w:r w:rsidR="00066045" w:rsidRPr="00066045">
        <w:rPr>
          <w:i/>
        </w:rPr>
        <w:t>danym punkcie.</w:t>
      </w:r>
      <w:r>
        <w:rPr>
          <w:i/>
        </w:rPr>
        <w:t xml:space="preserve"> </w:t>
      </w:r>
    </w:p>
    <w:p w14:paraId="62121DAA" w14:textId="2F376F25" w:rsidR="00066045" w:rsidRDefault="00066045" w:rsidP="003E3ACB">
      <w:pPr>
        <w:pStyle w:val="Akapitzlist"/>
        <w:numPr>
          <w:ilvl w:val="0"/>
          <w:numId w:val="2"/>
        </w:numPr>
        <w:jc w:val="both"/>
        <w:rPr>
          <w:i/>
        </w:rPr>
      </w:pPr>
      <w:r w:rsidRPr="00066045">
        <w:rPr>
          <w:i/>
        </w:rPr>
        <w:t>Procedury są nadmiernie sformalizowane i szczegółowe.</w:t>
      </w:r>
      <w:r w:rsidR="003E3ACB">
        <w:rPr>
          <w:i/>
        </w:rPr>
        <w:t xml:space="preserve"> </w:t>
      </w:r>
    </w:p>
    <w:p w14:paraId="6D975705" w14:textId="7E0340C4" w:rsidR="002434E6" w:rsidRDefault="002434E6" w:rsidP="003E3ACB">
      <w:pPr>
        <w:pStyle w:val="Akapitzlist"/>
        <w:numPr>
          <w:ilvl w:val="0"/>
          <w:numId w:val="2"/>
        </w:numPr>
        <w:jc w:val="both"/>
        <w:rPr>
          <w:i/>
        </w:rPr>
      </w:pPr>
      <w:r w:rsidRPr="002434E6">
        <w:rPr>
          <w:i/>
        </w:rPr>
        <w:t>uszczegółowienie oczekiwań dotyczących materiałów sprawdzanych w czasie wizytacji</w:t>
      </w:r>
      <w:r>
        <w:rPr>
          <w:i/>
        </w:rPr>
        <w:t xml:space="preserve">. </w:t>
      </w:r>
    </w:p>
    <w:p w14:paraId="1B87A42B" w14:textId="5DD12C60" w:rsidR="002434E6" w:rsidRPr="003C0237" w:rsidRDefault="002434E6" w:rsidP="002434E6">
      <w:pPr>
        <w:pStyle w:val="Akapitzlist"/>
        <w:numPr>
          <w:ilvl w:val="0"/>
          <w:numId w:val="2"/>
        </w:numPr>
        <w:jc w:val="both"/>
        <w:rPr>
          <w:i/>
        </w:rPr>
      </w:pPr>
      <w:r w:rsidRPr="002434E6">
        <w:rPr>
          <w:i/>
        </w:rPr>
        <w:t>(…) chcielibyśmy zwrócić uwagę na konieczność sprawdzania powiązań członków komisji z</w:t>
      </w:r>
      <w:r w:rsidR="003C0237">
        <w:rPr>
          <w:i/>
        </w:rPr>
        <w:t> </w:t>
      </w:r>
      <w:r w:rsidRPr="002434E6">
        <w:rPr>
          <w:i/>
        </w:rPr>
        <w:t>władzami sprawdzanych jednostek/wydziałów, których kierunków dokonywana jest akredytacja.</w:t>
      </w:r>
      <w:r w:rsidR="00402CF3">
        <w:rPr>
          <w:i/>
        </w:rPr>
        <w:t xml:space="preserve"> (…)</w:t>
      </w:r>
    </w:p>
    <w:p w14:paraId="3725C13B" w14:textId="416323F8" w:rsidR="002434E6" w:rsidRPr="003C0237" w:rsidRDefault="003C0237" w:rsidP="003E3ACB">
      <w:pPr>
        <w:pStyle w:val="Akapitzlist"/>
        <w:numPr>
          <w:ilvl w:val="0"/>
          <w:numId w:val="2"/>
        </w:numPr>
        <w:jc w:val="both"/>
        <w:rPr>
          <w:i/>
        </w:rPr>
      </w:pPr>
      <w:r w:rsidRPr="003C0237">
        <w:rPr>
          <w:i/>
        </w:rPr>
        <w:t>O</w:t>
      </w:r>
      <w:r w:rsidR="002434E6" w:rsidRPr="003C0237">
        <w:rPr>
          <w:i/>
        </w:rPr>
        <w:t>graniczyć biurokratyzacj</w:t>
      </w:r>
      <w:r w:rsidR="00402CF3">
        <w:rPr>
          <w:i/>
        </w:rPr>
        <w:t>ę</w:t>
      </w:r>
      <w:bookmarkStart w:id="0" w:name="_GoBack"/>
      <w:bookmarkEnd w:id="0"/>
      <w:r w:rsidR="002434E6" w:rsidRPr="003C0237">
        <w:rPr>
          <w:i/>
        </w:rPr>
        <w:t>.</w:t>
      </w:r>
    </w:p>
    <w:p w14:paraId="5633722F" w14:textId="46905E23" w:rsidR="006F08B0" w:rsidRDefault="003C0237" w:rsidP="00BE5BE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C0237">
        <w:rPr>
          <w:i/>
        </w:rPr>
        <w:t>Zdecydowanie zbyt skomplikowane i obszerne raporty samooceny.</w:t>
      </w:r>
    </w:p>
    <w:p w14:paraId="0EB047E0" w14:textId="77777777" w:rsidR="0004598C" w:rsidRDefault="0004598C"/>
    <w:sectPr w:rsidR="0004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40899"/>
    <w:multiLevelType w:val="hybridMultilevel"/>
    <w:tmpl w:val="0EF8B5DE"/>
    <w:lvl w:ilvl="0" w:tplc="48347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E2BF4"/>
    <w:multiLevelType w:val="hybridMultilevel"/>
    <w:tmpl w:val="E48A2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9BB"/>
    <w:rsid w:val="0004598C"/>
    <w:rsid w:val="00066045"/>
    <w:rsid w:val="00086D2B"/>
    <w:rsid w:val="000A29BB"/>
    <w:rsid w:val="000E5E11"/>
    <w:rsid w:val="001670F6"/>
    <w:rsid w:val="002434E6"/>
    <w:rsid w:val="002E6BE2"/>
    <w:rsid w:val="00324A50"/>
    <w:rsid w:val="003C0237"/>
    <w:rsid w:val="003E3ACB"/>
    <w:rsid w:val="00402CF3"/>
    <w:rsid w:val="00514326"/>
    <w:rsid w:val="005769AF"/>
    <w:rsid w:val="00583B29"/>
    <w:rsid w:val="00693B80"/>
    <w:rsid w:val="006A3CB7"/>
    <w:rsid w:val="006B1873"/>
    <w:rsid w:val="006F08B0"/>
    <w:rsid w:val="007121FF"/>
    <w:rsid w:val="00852083"/>
    <w:rsid w:val="00993A44"/>
    <w:rsid w:val="00A31C46"/>
    <w:rsid w:val="00A61DEF"/>
    <w:rsid w:val="00B408DA"/>
    <w:rsid w:val="00B537DC"/>
    <w:rsid w:val="00C518D9"/>
    <w:rsid w:val="00D22FDA"/>
    <w:rsid w:val="00D413DC"/>
    <w:rsid w:val="00D45AC9"/>
    <w:rsid w:val="00DB26E1"/>
    <w:rsid w:val="00E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988B"/>
  <w15:docId w15:val="{B2FA83AF-0CE6-4739-AE6B-E9C2F307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9BB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B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29BB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A29B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A29BB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Akapitzlist">
    <w:name w:val="List Paragraph"/>
    <w:basedOn w:val="Normalny"/>
    <w:uiPriority w:val="34"/>
    <w:qFormat/>
    <w:rsid w:val="000A2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9BB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1043-2F38-4320-B26C-878428F2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Piechowicz</dc:creator>
  <cp:lastModifiedBy>Małgorzata Piechowicz</cp:lastModifiedBy>
  <cp:revision>17</cp:revision>
  <cp:lastPrinted>2019-05-14T07:19:00Z</cp:lastPrinted>
  <dcterms:created xsi:type="dcterms:W3CDTF">2018-07-16T12:18:00Z</dcterms:created>
  <dcterms:modified xsi:type="dcterms:W3CDTF">2020-04-01T21:39:00Z</dcterms:modified>
</cp:coreProperties>
</file>