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44F88" w14:textId="53D3E8D3" w:rsidR="00FD7D3D" w:rsidRDefault="00FD7D3D" w:rsidP="00FD7D3D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Załącznik nr </w:t>
      </w:r>
      <w:r w:rsidR="00500806">
        <w:rPr>
          <w:rFonts w:asciiTheme="minorHAnsi" w:hAnsiTheme="minorHAnsi" w:cstheme="minorHAnsi"/>
          <w:sz w:val="22"/>
          <w:szCs w:val="22"/>
        </w:rPr>
        <w:t>3</w:t>
      </w:r>
      <w:r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89C12F5" w14:textId="7DAAB2D9" w:rsidR="00FD7D3D" w:rsidRDefault="00FD7D3D" w:rsidP="00FD7D3D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do Uchwały Nr 712/2019 </w:t>
      </w:r>
      <w:r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6903930" w14:textId="77777777" w:rsidR="00FD7D3D" w:rsidRDefault="00FD7D3D" w:rsidP="00FD7D3D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Prezydium Polskiej Komisji Akredytacyjnej</w:t>
      </w:r>
      <w:r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5EECDC4" w14:textId="77777777" w:rsidR="00FD7D3D" w:rsidRDefault="00FD7D3D" w:rsidP="00FD7D3D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z dnia 19 września 2019 r.</w:t>
      </w:r>
    </w:p>
    <w:p w14:paraId="55589E2F" w14:textId="77777777" w:rsidR="00FD7D3D" w:rsidRDefault="00FD7D3D" w:rsidP="00FD7D3D">
      <w:pPr>
        <w:ind w:left="4536"/>
        <w:jc w:val="right"/>
        <w:rPr>
          <w:rFonts w:ascii="Calibri" w:hAnsi="Calibri"/>
          <w:sz w:val="22"/>
        </w:rPr>
      </w:pPr>
    </w:p>
    <w:p w14:paraId="43B963F0" w14:textId="6BFFBD4A" w:rsidR="00FD7D3D" w:rsidRDefault="00FD7D3D" w:rsidP="00FD7D3D">
      <w:pPr>
        <w:jc w:val="right"/>
        <w:rPr>
          <w:rFonts w:ascii="Calibri" w:hAnsi="Calibri" w:cs="Times New Roman"/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A73DA1" wp14:editId="341385C6">
                <wp:simplePos x="0" y="0"/>
                <wp:positionH relativeFrom="column">
                  <wp:posOffset>1854200</wp:posOffset>
                </wp:positionH>
                <wp:positionV relativeFrom="paragraph">
                  <wp:posOffset>102235</wp:posOffset>
                </wp:positionV>
                <wp:extent cx="3890010" cy="0"/>
                <wp:effectExtent l="19050" t="19050" r="53340" b="3810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90010" cy="0"/>
                        </a:xfrm>
                        <a:prstGeom prst="line">
                          <a:avLst/>
                        </a:prstGeom>
                        <a:ln w="50800" cap="rnd">
                          <a:solidFill>
                            <a:srgbClr val="253C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49B657" id="Łącznik prosty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pt,8.05pt" to="452.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" strokecolor="#253c80" strokeweight="4pt">
                <v:stroke joinstyle="miter" endcap="round"/>
              </v:line>
            </w:pict>
          </mc:Fallback>
        </mc:AlternateContent>
      </w:r>
      <w:r>
        <w:rPr>
          <w:rFonts w:ascii="Calibri" w:hAnsi="Calibri" w:cs="Times New Roman"/>
          <w:b/>
          <w:color w:val="000000"/>
          <w:sz w:val="28"/>
          <w:szCs w:val="28"/>
        </w:rPr>
        <w:t xml:space="preserve">  </w:t>
      </w:r>
    </w:p>
    <w:p w14:paraId="3A3BD97C" w14:textId="77777777" w:rsidR="00FD7D3D" w:rsidRDefault="00FD7D3D" w:rsidP="00FD7D3D">
      <w:pPr>
        <w:ind w:left="4536"/>
        <w:jc w:val="right"/>
        <w:rPr>
          <w:rFonts w:ascii="Calibri" w:hAnsi="Calibri"/>
          <w:sz w:val="22"/>
        </w:rPr>
      </w:pPr>
    </w:p>
    <w:p w14:paraId="32F1AA3A" w14:textId="4947F278" w:rsidR="009341ED" w:rsidRPr="00EF6C6C" w:rsidRDefault="00FD7D3D" w:rsidP="00EF6C6C">
      <w:pPr>
        <w:pStyle w:val="Stopka"/>
        <w:tabs>
          <w:tab w:val="left" w:pos="708"/>
        </w:tabs>
        <w:ind w:firstLine="708"/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</w:t>
      </w:r>
    </w:p>
    <w:tbl>
      <w:tblPr>
        <w:tblStyle w:val="Tabela-Siatka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6528"/>
      </w:tblGrid>
      <w:tr w:rsidR="009341ED" w:rsidRPr="00EC3A11" w14:paraId="57672F15" w14:textId="77777777" w:rsidTr="009341ED">
        <w:trPr>
          <w:trHeight w:val="647"/>
        </w:trPr>
        <w:tc>
          <w:tcPr>
            <w:tcW w:w="2835" w:type="dxa"/>
            <w:vMerge w:val="restart"/>
            <w:hideMark/>
          </w:tcPr>
          <w:p w14:paraId="7C1C32AE" w14:textId="0618A12D" w:rsidR="009341ED" w:rsidRPr="00EC3A11" w:rsidRDefault="009341ED">
            <w:pPr>
              <w:jc w:val="center"/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  <w:r w:rsidRPr="00EC3A11">
              <w:rPr>
                <w:rFonts w:cs="Calibri"/>
                <w:noProof/>
                <w:szCs w:val="22"/>
              </w:rPr>
              <w:drawing>
                <wp:anchor distT="0" distB="0" distL="114300" distR="114300" simplePos="0" relativeHeight="251659264" behindDoc="0" locked="1" layoutInCell="1" allowOverlap="0" wp14:anchorId="3134EF4F" wp14:editId="6D558D3F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308610</wp:posOffset>
                  </wp:positionV>
                  <wp:extent cx="1630680" cy="2282190"/>
                  <wp:effectExtent l="0" t="0" r="0" b="0"/>
                  <wp:wrapSquare wrapText="bothSides"/>
                  <wp:docPr id="4" name="Obraz 4" descr="Obraz zawierający zna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Obraz zawierający znak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2282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</w:tcPr>
          <w:p w14:paraId="60D14594" w14:textId="77777777" w:rsidR="009341ED" w:rsidRPr="00EC3A11" w:rsidRDefault="009341ED">
            <w:pPr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</w:p>
        </w:tc>
      </w:tr>
      <w:tr w:rsidR="009341ED" w:rsidRPr="00EC3A11" w14:paraId="5B2215F1" w14:textId="77777777" w:rsidTr="009341ED">
        <w:trPr>
          <w:trHeight w:val="2995"/>
        </w:trPr>
        <w:tc>
          <w:tcPr>
            <w:tcW w:w="0" w:type="auto"/>
            <w:vMerge/>
            <w:vAlign w:val="center"/>
            <w:hideMark/>
          </w:tcPr>
          <w:p w14:paraId="2C861D2F" w14:textId="77777777" w:rsidR="009341ED" w:rsidRPr="00EC3A11" w:rsidRDefault="009341ED">
            <w:pPr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14:paraId="301A64C6" w14:textId="77777777" w:rsidR="009341ED" w:rsidRPr="00EC3A11" w:rsidRDefault="009341ED">
            <w:pPr>
              <w:pStyle w:val="PKA-STRONA1"/>
              <w:ind w:left="0"/>
              <w:jc w:val="left"/>
              <w:rPr>
                <w:lang w:eastAsia="en-US"/>
              </w:rPr>
            </w:pPr>
            <w:r w:rsidRPr="00EC3A11">
              <w:rPr>
                <w:lang w:eastAsia="en-US"/>
              </w:rPr>
              <w:t>O</w:t>
            </w:r>
            <w:r w:rsidRPr="00EC3A11">
              <w:rPr>
                <w:bCs w:val="0"/>
                <w:lang w:eastAsia="en-US"/>
              </w:rPr>
              <w:t>pinia</w:t>
            </w:r>
            <w:r w:rsidRPr="00EC3A11">
              <w:rPr>
                <w:lang w:eastAsia="en-US"/>
              </w:rPr>
              <w:t xml:space="preserve"> </w:t>
            </w:r>
            <w:r w:rsidRPr="00EC3A11">
              <w:rPr>
                <w:bCs w:val="0"/>
                <w:lang w:eastAsia="en-US"/>
              </w:rPr>
              <w:t>Zespołu</w:t>
            </w:r>
            <w:r w:rsidRPr="00EC3A11">
              <w:rPr>
                <w:lang w:eastAsia="en-US"/>
              </w:rPr>
              <w:t xml:space="preserve"> …………………………</w:t>
            </w:r>
          </w:p>
          <w:p w14:paraId="7F98CB74" w14:textId="30FE6524" w:rsidR="009341ED" w:rsidRPr="00EC3A11" w:rsidRDefault="009341ED" w:rsidP="009341ED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C3A11">
              <w:rPr>
                <w:rFonts w:cstheme="minorHAnsi"/>
                <w:bCs/>
                <w:sz w:val="20"/>
                <w:szCs w:val="20"/>
              </w:rPr>
              <w:t>(nazwa Zespołu działającego w ramach dziedziny/Zespołu do spraw kształcenia nauczycieli)</w:t>
            </w:r>
          </w:p>
          <w:p w14:paraId="23C224F1" w14:textId="77777777" w:rsidR="009341ED" w:rsidRPr="00EC3A11" w:rsidRDefault="009341ED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A0FF881" w14:textId="492D7DB9" w:rsidR="009341ED" w:rsidRPr="00EC3A11" w:rsidRDefault="009341ED">
            <w:pPr>
              <w:pStyle w:val="Tytu"/>
              <w:rPr>
                <w:rFonts w:asciiTheme="minorHAnsi" w:hAnsiTheme="minorHAnsi" w:cstheme="minorHAnsi"/>
                <w:bCs/>
                <w:color w:val="213C83"/>
                <w:sz w:val="24"/>
                <w:szCs w:val="24"/>
                <w:lang w:eastAsia="en-US"/>
              </w:rPr>
            </w:pPr>
            <w:r w:rsidRPr="00EC3A11">
              <w:rPr>
                <w:rFonts w:asciiTheme="minorHAnsi" w:hAnsiTheme="minorHAnsi" w:cstheme="minorHAnsi"/>
                <w:bCs/>
                <w:color w:val="213C83"/>
                <w:sz w:val="24"/>
                <w:szCs w:val="24"/>
                <w:lang w:eastAsia="en-US"/>
              </w:rPr>
              <w:t xml:space="preserve">w sprawie spełnienia </w:t>
            </w:r>
            <w:r w:rsidRPr="00EC3A11">
              <w:rPr>
                <w:rFonts w:asciiTheme="minorHAnsi" w:hAnsiTheme="minorHAnsi" w:cstheme="minorHAnsi"/>
                <w:bCs/>
                <w:color w:val="213C83"/>
                <w:spacing w:val="-2"/>
                <w:sz w:val="24"/>
                <w:szCs w:val="24"/>
                <w:lang w:eastAsia="en-US"/>
              </w:rPr>
              <w:t>warunków</w:t>
            </w:r>
            <w:r w:rsidRPr="00EC3A11">
              <w:rPr>
                <w:rFonts w:asciiTheme="minorHAnsi" w:hAnsiTheme="minorHAnsi" w:cstheme="minorHAnsi"/>
                <w:bCs/>
                <w:color w:val="213C83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C3A11">
              <w:rPr>
                <w:rFonts w:asciiTheme="minorHAnsi" w:hAnsiTheme="minorHAnsi" w:cstheme="minorHAnsi"/>
                <w:bCs/>
                <w:color w:val="213C83"/>
                <w:sz w:val="24"/>
                <w:szCs w:val="24"/>
                <w:lang w:eastAsia="en-US"/>
              </w:rPr>
              <w:t>prowadzenia</w:t>
            </w:r>
            <w:r w:rsidRPr="00EC3A11">
              <w:rPr>
                <w:rFonts w:asciiTheme="minorHAnsi" w:hAnsiTheme="minorHAnsi" w:cstheme="minorHAnsi"/>
                <w:bCs/>
                <w:color w:val="213C83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C3A11">
              <w:rPr>
                <w:rFonts w:asciiTheme="minorHAnsi" w:hAnsiTheme="minorHAnsi" w:cstheme="minorHAnsi"/>
                <w:bCs/>
                <w:color w:val="213C83"/>
                <w:sz w:val="24"/>
                <w:szCs w:val="24"/>
                <w:lang w:eastAsia="en-US"/>
              </w:rPr>
              <w:t>studiów</w:t>
            </w:r>
            <w:r w:rsidRPr="00EC3A11">
              <w:rPr>
                <w:rFonts w:asciiTheme="minorHAnsi" w:hAnsiTheme="minorHAnsi" w:cstheme="minorHAnsi"/>
                <w:bCs/>
                <w:color w:val="213C83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C3A11">
              <w:rPr>
                <w:rFonts w:asciiTheme="minorHAnsi" w:hAnsiTheme="minorHAnsi" w:cstheme="minorHAnsi"/>
                <w:bCs/>
                <w:color w:val="213C83"/>
                <w:sz w:val="24"/>
                <w:szCs w:val="24"/>
                <w:lang w:eastAsia="en-US"/>
              </w:rPr>
              <w:t>na określonym</w:t>
            </w:r>
            <w:r w:rsidRPr="00EC3A11">
              <w:rPr>
                <w:rFonts w:asciiTheme="minorHAnsi" w:hAnsiTheme="minorHAnsi" w:cstheme="minorHAnsi"/>
                <w:bCs/>
                <w:color w:val="213C83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EC3A11">
              <w:rPr>
                <w:rFonts w:asciiTheme="minorHAnsi" w:hAnsiTheme="minorHAnsi" w:cstheme="minorHAnsi"/>
                <w:bCs/>
                <w:color w:val="213C83"/>
                <w:spacing w:val="-2"/>
                <w:sz w:val="24"/>
                <w:szCs w:val="24"/>
                <w:lang w:eastAsia="en-US"/>
              </w:rPr>
              <w:t>kierunku,</w:t>
            </w:r>
            <w:r w:rsidRPr="00EC3A11">
              <w:rPr>
                <w:rFonts w:asciiTheme="minorHAnsi" w:hAnsiTheme="minorHAnsi" w:cstheme="minorHAnsi"/>
                <w:bCs/>
                <w:color w:val="213C83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C3A11">
              <w:rPr>
                <w:rFonts w:asciiTheme="minorHAnsi" w:hAnsiTheme="minorHAnsi" w:cstheme="minorHAnsi"/>
                <w:bCs/>
                <w:color w:val="213C83"/>
                <w:sz w:val="24"/>
                <w:szCs w:val="24"/>
                <w:lang w:eastAsia="en-US"/>
              </w:rPr>
              <w:t>poziomie i</w:t>
            </w:r>
            <w:r w:rsidRPr="00EC3A11">
              <w:rPr>
                <w:rFonts w:asciiTheme="minorHAnsi" w:hAnsiTheme="minorHAnsi" w:cstheme="minorHAnsi"/>
                <w:bCs/>
                <w:color w:val="213C83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C3A11">
              <w:rPr>
                <w:rFonts w:asciiTheme="minorHAnsi" w:hAnsiTheme="minorHAnsi" w:cstheme="minorHAnsi"/>
                <w:bCs/>
                <w:color w:val="213C83"/>
                <w:sz w:val="24"/>
                <w:szCs w:val="24"/>
                <w:lang w:eastAsia="en-US"/>
              </w:rPr>
              <w:t>profilu oraz związku studiów</w:t>
            </w:r>
            <w:r w:rsidRPr="00EC3A11">
              <w:rPr>
                <w:rFonts w:asciiTheme="minorHAnsi" w:hAnsiTheme="minorHAnsi" w:cstheme="minorHAnsi"/>
                <w:bCs/>
                <w:color w:val="213C83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EC3A11">
              <w:rPr>
                <w:rFonts w:asciiTheme="minorHAnsi" w:hAnsiTheme="minorHAnsi" w:cstheme="minorHAnsi"/>
                <w:bCs/>
                <w:color w:val="213C83"/>
                <w:sz w:val="24"/>
                <w:szCs w:val="24"/>
                <w:lang w:eastAsia="en-US"/>
              </w:rPr>
              <w:t>ze</w:t>
            </w:r>
            <w:r w:rsidRPr="00EC3A11">
              <w:rPr>
                <w:rFonts w:asciiTheme="minorHAnsi" w:hAnsiTheme="minorHAnsi" w:cstheme="minorHAnsi"/>
                <w:bCs/>
                <w:color w:val="213C83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EC3A11">
              <w:rPr>
                <w:rFonts w:asciiTheme="minorHAnsi" w:hAnsiTheme="minorHAnsi" w:cstheme="minorHAnsi"/>
                <w:bCs/>
                <w:color w:val="213C83"/>
                <w:sz w:val="24"/>
                <w:szCs w:val="24"/>
                <w:lang w:eastAsia="en-US"/>
              </w:rPr>
              <w:t>strategią</w:t>
            </w:r>
            <w:r w:rsidRPr="00EC3A11">
              <w:rPr>
                <w:rFonts w:asciiTheme="minorHAnsi" w:hAnsiTheme="minorHAnsi" w:cstheme="minorHAnsi"/>
                <w:bCs/>
                <w:color w:val="213C83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EC3A11">
              <w:rPr>
                <w:rFonts w:asciiTheme="minorHAnsi" w:hAnsiTheme="minorHAnsi" w:cstheme="minorHAnsi"/>
                <w:bCs/>
                <w:color w:val="213C83"/>
                <w:sz w:val="24"/>
                <w:szCs w:val="24"/>
                <w:lang w:eastAsia="en-US"/>
              </w:rPr>
              <w:t>uczelni</w:t>
            </w:r>
          </w:p>
          <w:p w14:paraId="01BD6D98" w14:textId="77777777" w:rsidR="009341ED" w:rsidRPr="00EC3A11" w:rsidRDefault="009341ED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9341ED" w:rsidRPr="00EC3A11" w14:paraId="37548C75" w14:textId="77777777" w:rsidTr="009341ED">
        <w:trPr>
          <w:trHeight w:val="686"/>
        </w:trPr>
        <w:tc>
          <w:tcPr>
            <w:tcW w:w="0" w:type="auto"/>
            <w:vMerge/>
            <w:vAlign w:val="center"/>
            <w:hideMark/>
          </w:tcPr>
          <w:p w14:paraId="45B0A175" w14:textId="77777777" w:rsidR="009341ED" w:rsidRPr="00EC3A11" w:rsidRDefault="009341ED">
            <w:pPr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14:paraId="242EED5B" w14:textId="65E1E291" w:rsidR="009341ED" w:rsidRPr="00EC3A11" w:rsidRDefault="009341ED">
            <w:pPr>
              <w:jc w:val="center"/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  <w:r w:rsidRPr="00EC3A11">
              <w:rPr>
                <w:rFonts w:ascii="Times New Roman" w:hAnsi="Times New Roman" w:cs="Calibr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CD692A" wp14:editId="6BBA51D2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102870</wp:posOffset>
                      </wp:positionV>
                      <wp:extent cx="3833495" cy="0"/>
                      <wp:effectExtent l="19050" t="19050" r="52705" b="3810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32860" cy="0"/>
                              </a:xfrm>
                              <a:prstGeom prst="line">
                                <a:avLst/>
                              </a:prstGeom>
                              <a:ln w="50800" cap="rnd">
                                <a:solidFill>
                                  <a:srgbClr val="253C8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335FD8" id="Łącznik prosty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8.1pt" to="302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" strokecolor="#253c80" strokeweight="4pt">
                      <v:stroke joinstyle="miter" endcap="round"/>
                    </v:line>
                  </w:pict>
                </mc:Fallback>
              </mc:AlternateContent>
            </w:r>
          </w:p>
        </w:tc>
      </w:tr>
    </w:tbl>
    <w:p w14:paraId="419D3A86" w14:textId="77777777" w:rsidR="009341ED" w:rsidRPr="00EC3A11" w:rsidRDefault="009341ED" w:rsidP="009341ED">
      <w:pPr>
        <w:spacing w:line="360" w:lineRule="auto"/>
        <w:ind w:firstLine="1134"/>
        <w:rPr>
          <w:rFonts w:ascii="Times New Roman" w:hAnsi="Times New Roman" w:cs="Times New Roman"/>
          <w:b/>
          <w:bCs/>
          <w:sz w:val="40"/>
          <w:szCs w:val="40"/>
          <w:lang w:eastAsia="pl-PL"/>
        </w:rPr>
      </w:pPr>
    </w:p>
    <w:p w14:paraId="47DAEE3C" w14:textId="77777777" w:rsidR="009341ED" w:rsidRPr="00EC3A11" w:rsidRDefault="009341ED" w:rsidP="009341ED">
      <w:pPr>
        <w:spacing w:line="360" w:lineRule="auto"/>
        <w:ind w:left="1134"/>
        <w:rPr>
          <w:rFonts w:cs="Times New Roman"/>
          <w:b/>
          <w:bCs/>
          <w:sz w:val="40"/>
          <w:szCs w:val="40"/>
        </w:rPr>
      </w:pPr>
    </w:p>
    <w:p w14:paraId="34F25F8B" w14:textId="77777777" w:rsidR="009341ED" w:rsidRPr="00EC3A11" w:rsidRDefault="009341ED" w:rsidP="009341ED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14:paraId="514838FA" w14:textId="77777777" w:rsidR="009341ED" w:rsidRPr="00EC3A11" w:rsidRDefault="009341ED" w:rsidP="009341ED">
      <w:pPr>
        <w:pStyle w:val="pka-1-stronq"/>
        <w:rPr>
          <w:b/>
          <w:bCs/>
          <w:color w:val="223C83"/>
        </w:rPr>
      </w:pPr>
      <w:r w:rsidRPr="00EC3A11">
        <w:rPr>
          <w:b/>
          <w:bCs/>
          <w:color w:val="223C83"/>
        </w:rPr>
        <w:t>Nazwa kierunku studiów:</w:t>
      </w:r>
    </w:p>
    <w:p w14:paraId="5ABEB4B9" w14:textId="77777777" w:rsidR="009341ED" w:rsidRPr="00EC3A11" w:rsidRDefault="009341ED" w:rsidP="009341ED">
      <w:pPr>
        <w:pStyle w:val="pka-1-stronq"/>
        <w:rPr>
          <w:b/>
          <w:bCs/>
          <w:color w:val="223C83"/>
        </w:rPr>
      </w:pPr>
      <w:r w:rsidRPr="00EC3A11">
        <w:rPr>
          <w:b/>
          <w:bCs/>
          <w:color w:val="223C83"/>
        </w:rPr>
        <w:t xml:space="preserve">Poziom/y studiów: </w:t>
      </w:r>
    </w:p>
    <w:p w14:paraId="6127F83E" w14:textId="55E375A3" w:rsidR="009341ED" w:rsidRPr="00EC3A11" w:rsidRDefault="009341ED" w:rsidP="009341ED">
      <w:pPr>
        <w:pStyle w:val="pka-1-stronq"/>
        <w:rPr>
          <w:b/>
          <w:bCs/>
          <w:color w:val="223C83"/>
        </w:rPr>
      </w:pPr>
      <w:r w:rsidRPr="00EC3A11">
        <w:rPr>
          <w:b/>
          <w:bCs/>
          <w:color w:val="223C83"/>
        </w:rPr>
        <w:t>Profil studiów:</w:t>
      </w:r>
      <w:r w:rsidR="0090194D">
        <w:rPr>
          <w:b/>
          <w:bCs/>
          <w:color w:val="223C83"/>
        </w:rPr>
        <w:t xml:space="preserve"> </w:t>
      </w:r>
      <w:proofErr w:type="spellStart"/>
      <w:r w:rsidR="0090194D">
        <w:rPr>
          <w:b/>
          <w:bCs/>
          <w:color w:val="223C83"/>
        </w:rPr>
        <w:t>ogólnoakademicki</w:t>
      </w:r>
      <w:proofErr w:type="spellEnd"/>
    </w:p>
    <w:p w14:paraId="556B56F6" w14:textId="77777777" w:rsidR="009341ED" w:rsidRPr="00EC3A11" w:rsidRDefault="009341ED" w:rsidP="009341ED">
      <w:pPr>
        <w:pStyle w:val="pka-1-stronq"/>
        <w:rPr>
          <w:b/>
          <w:bCs/>
          <w:color w:val="223C83"/>
        </w:rPr>
      </w:pPr>
      <w:r w:rsidRPr="00EC3A11">
        <w:rPr>
          <w:b/>
          <w:bCs/>
          <w:color w:val="223C83"/>
        </w:rPr>
        <w:t xml:space="preserve">Forma/y studiów: </w:t>
      </w:r>
    </w:p>
    <w:p w14:paraId="11F3FF8D" w14:textId="77777777" w:rsidR="009341ED" w:rsidRPr="00EC3A11" w:rsidRDefault="009341ED" w:rsidP="009341ED">
      <w:pPr>
        <w:pStyle w:val="pka-1-stronq"/>
        <w:rPr>
          <w:b/>
          <w:bCs/>
          <w:color w:val="223C83"/>
        </w:rPr>
      </w:pPr>
      <w:r w:rsidRPr="00EC3A11">
        <w:rPr>
          <w:b/>
          <w:bCs/>
          <w:color w:val="223C83"/>
        </w:rPr>
        <w:t>Nazwa i siedziba uczelni wnioskującej o pozwolenie na utworzenie studiów:</w:t>
      </w:r>
    </w:p>
    <w:p w14:paraId="589F7214" w14:textId="77777777" w:rsidR="009341ED" w:rsidRPr="00EC3A11" w:rsidRDefault="009341ED" w:rsidP="009341ED">
      <w:pPr>
        <w:rPr>
          <w:rFonts w:cs="Times New Roman"/>
          <w:sz w:val="20"/>
          <w:szCs w:val="20"/>
        </w:rPr>
      </w:pPr>
    </w:p>
    <w:p w14:paraId="77E84965" w14:textId="77777777" w:rsidR="009341ED" w:rsidRPr="00EC3A11" w:rsidRDefault="009341ED" w:rsidP="009341ED">
      <w:pPr>
        <w:rPr>
          <w:rFonts w:cs="Times New Roman"/>
          <w:sz w:val="20"/>
          <w:szCs w:val="20"/>
        </w:rPr>
      </w:pPr>
    </w:p>
    <w:p w14:paraId="2554A99E" w14:textId="77777777" w:rsidR="009341ED" w:rsidRPr="00EC3A11" w:rsidRDefault="009341ED" w:rsidP="009341ED">
      <w:pPr>
        <w:rPr>
          <w:rFonts w:cs="Times New Roman"/>
          <w:sz w:val="20"/>
          <w:szCs w:val="20"/>
        </w:rPr>
      </w:pPr>
    </w:p>
    <w:p w14:paraId="3BFBEB0A" w14:textId="77777777" w:rsidR="009341ED" w:rsidRPr="00EC3A11" w:rsidRDefault="009341ED" w:rsidP="009341ED">
      <w:pPr>
        <w:rPr>
          <w:rFonts w:cs="Times New Roman"/>
          <w:sz w:val="20"/>
          <w:szCs w:val="20"/>
        </w:rPr>
      </w:pPr>
    </w:p>
    <w:p w14:paraId="4A74B3E7" w14:textId="77777777" w:rsidR="009341ED" w:rsidRPr="00EC3A11" w:rsidRDefault="009341ED" w:rsidP="009341ED">
      <w:pPr>
        <w:rPr>
          <w:rFonts w:cs="Times New Roman"/>
          <w:sz w:val="20"/>
          <w:szCs w:val="20"/>
        </w:rPr>
      </w:pPr>
    </w:p>
    <w:p w14:paraId="7A267384" w14:textId="77777777" w:rsidR="009341ED" w:rsidRPr="00EC3A11" w:rsidRDefault="009341ED" w:rsidP="009341ED">
      <w:pPr>
        <w:rPr>
          <w:rFonts w:cs="Times New Roman"/>
          <w:sz w:val="20"/>
          <w:szCs w:val="20"/>
        </w:rPr>
      </w:pPr>
    </w:p>
    <w:p w14:paraId="302A7D8C" w14:textId="77777777" w:rsidR="009341ED" w:rsidRPr="00EC3A11" w:rsidRDefault="009341ED" w:rsidP="009341ED">
      <w:pPr>
        <w:rPr>
          <w:rFonts w:cs="Times New Roman"/>
          <w:sz w:val="20"/>
          <w:szCs w:val="20"/>
        </w:rPr>
      </w:pPr>
    </w:p>
    <w:p w14:paraId="691F4198" w14:textId="77777777" w:rsidR="009341ED" w:rsidRPr="00EC3A11" w:rsidRDefault="009341ED" w:rsidP="009341ED">
      <w:pPr>
        <w:rPr>
          <w:rFonts w:cs="Times New Roman"/>
          <w:sz w:val="20"/>
          <w:szCs w:val="20"/>
        </w:rPr>
      </w:pPr>
    </w:p>
    <w:p w14:paraId="6F2446F9" w14:textId="77777777" w:rsidR="009341ED" w:rsidRPr="00EC3A11" w:rsidRDefault="009341ED" w:rsidP="009341ED">
      <w:pPr>
        <w:rPr>
          <w:rFonts w:cs="Times New Roman"/>
          <w:sz w:val="20"/>
          <w:szCs w:val="20"/>
        </w:rPr>
      </w:pPr>
    </w:p>
    <w:p w14:paraId="5DC3A7BB" w14:textId="77777777" w:rsidR="009341ED" w:rsidRPr="00EC3A11" w:rsidRDefault="009341ED" w:rsidP="009341ED">
      <w:pPr>
        <w:rPr>
          <w:rFonts w:cs="Times New Roman"/>
          <w:sz w:val="20"/>
          <w:szCs w:val="20"/>
        </w:rPr>
      </w:pPr>
    </w:p>
    <w:p w14:paraId="360692B7" w14:textId="77777777" w:rsidR="009341ED" w:rsidRPr="00EC3A11" w:rsidRDefault="009341ED" w:rsidP="009341ED">
      <w:pPr>
        <w:rPr>
          <w:rFonts w:cs="Times New Roman"/>
          <w:sz w:val="20"/>
          <w:szCs w:val="20"/>
        </w:rPr>
      </w:pPr>
    </w:p>
    <w:p w14:paraId="353751E5" w14:textId="77777777" w:rsidR="009341ED" w:rsidRPr="00EC3A11" w:rsidRDefault="009341ED" w:rsidP="009341ED">
      <w:pPr>
        <w:rPr>
          <w:rFonts w:cs="Times New Roman"/>
          <w:b/>
          <w:sz w:val="28"/>
          <w:szCs w:val="28"/>
        </w:rPr>
      </w:pPr>
    </w:p>
    <w:p w14:paraId="264D88BF" w14:textId="77777777" w:rsidR="009341ED" w:rsidRPr="00EC3A11" w:rsidRDefault="009341ED" w:rsidP="009341ED">
      <w:pPr>
        <w:ind w:left="2268"/>
        <w:jc w:val="both"/>
        <w:rPr>
          <w:rFonts w:ascii="Arial" w:hAnsi="Arial" w:cs="Arial"/>
          <w:b/>
          <w:sz w:val="22"/>
        </w:rPr>
      </w:pPr>
      <w:r w:rsidRPr="00EC3A11">
        <w:rPr>
          <w:rFonts w:ascii="Arial" w:hAnsi="Arial" w:cs="Arial"/>
          <w:b/>
          <w:sz w:val="22"/>
        </w:rPr>
        <w:t>Warszawa, ……</w:t>
      </w:r>
    </w:p>
    <w:p w14:paraId="0783D6F7" w14:textId="77777777" w:rsidR="009341ED" w:rsidRPr="00EC3A11" w:rsidRDefault="009341ED" w:rsidP="009341ED">
      <w:pPr>
        <w:ind w:left="2268"/>
        <w:jc w:val="both"/>
        <w:rPr>
          <w:rFonts w:ascii="Arial" w:hAnsi="Arial" w:cs="Arial"/>
          <w:b/>
          <w:sz w:val="22"/>
        </w:rPr>
      </w:pPr>
      <w:r w:rsidRPr="00EC3A11">
        <w:rPr>
          <w:rFonts w:ascii="Calibri" w:hAnsi="Calibri"/>
          <w:sz w:val="20"/>
          <w:szCs w:val="20"/>
        </w:rPr>
        <w:t>(data wydania opinii)</w:t>
      </w:r>
    </w:p>
    <w:p w14:paraId="7F71AD88" w14:textId="77777777" w:rsidR="00733E7A" w:rsidRPr="00EC3A11" w:rsidRDefault="00733E7A" w:rsidP="00733E7A">
      <w:pPr>
        <w:jc w:val="both"/>
        <w:rPr>
          <w:rFonts w:cstheme="minorHAnsi"/>
          <w:sz w:val="22"/>
        </w:rPr>
      </w:pPr>
    </w:p>
    <w:p w14:paraId="2DF53793" w14:textId="77777777" w:rsidR="004B5466" w:rsidRDefault="004B5466" w:rsidP="00733E7A">
      <w:pPr>
        <w:spacing w:line="276" w:lineRule="auto"/>
        <w:jc w:val="both"/>
        <w:rPr>
          <w:rFonts w:cstheme="minorHAnsi"/>
          <w:sz w:val="22"/>
          <w:szCs w:val="22"/>
        </w:rPr>
      </w:pPr>
      <w:bookmarkStart w:id="0" w:name="_Hlk19313945"/>
    </w:p>
    <w:p w14:paraId="48E12F83" w14:textId="77777777" w:rsidR="004B5466" w:rsidRDefault="004B5466" w:rsidP="00733E7A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4FA1BB2B" w14:textId="77777777" w:rsidR="004B5466" w:rsidRDefault="004B5466" w:rsidP="00733E7A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3FC787A3" w14:textId="01E880CC" w:rsidR="00733E7A" w:rsidRPr="00EC3A11" w:rsidRDefault="00D0411D" w:rsidP="00733E7A">
      <w:pPr>
        <w:spacing w:line="276" w:lineRule="auto"/>
        <w:jc w:val="both"/>
        <w:rPr>
          <w:rFonts w:cstheme="minorHAnsi"/>
          <w:b/>
          <w:sz w:val="22"/>
          <w:szCs w:val="22"/>
        </w:rPr>
      </w:pPr>
      <w:r w:rsidRPr="00EC3A11">
        <w:rPr>
          <w:rFonts w:cstheme="minorHAnsi"/>
          <w:sz w:val="22"/>
          <w:szCs w:val="22"/>
        </w:rPr>
        <w:t>(data posiedzenia Zespołu)</w:t>
      </w:r>
    </w:p>
    <w:p w14:paraId="64AB56B3" w14:textId="77777777" w:rsidR="00733E7A" w:rsidRPr="00EC3A11" w:rsidRDefault="00733E7A" w:rsidP="00733E7A">
      <w:pPr>
        <w:spacing w:after="160" w:line="276" w:lineRule="auto"/>
        <w:jc w:val="both"/>
        <w:rPr>
          <w:rFonts w:cstheme="minorHAnsi"/>
          <w:sz w:val="22"/>
          <w:szCs w:val="22"/>
        </w:rPr>
      </w:pPr>
    </w:p>
    <w:p w14:paraId="1C29ECBE" w14:textId="584F299D" w:rsidR="00733E7A" w:rsidRPr="00EC3A11" w:rsidRDefault="00D0411D" w:rsidP="00733E7A">
      <w:pPr>
        <w:spacing w:after="160" w:line="276" w:lineRule="auto"/>
        <w:jc w:val="both"/>
        <w:rPr>
          <w:rFonts w:cstheme="minorHAnsi"/>
          <w:sz w:val="22"/>
          <w:szCs w:val="22"/>
        </w:rPr>
      </w:pPr>
      <w:bookmarkStart w:id="1" w:name="_Hlk19129271"/>
      <w:r w:rsidRPr="00EC3A11">
        <w:rPr>
          <w:rFonts w:ascii="Calibri" w:eastAsia="Times New Roman" w:hAnsi="Calibri" w:cs="Arial"/>
          <w:sz w:val="22"/>
          <w:szCs w:val="20"/>
          <w:lang w:eastAsia="pl-PL"/>
        </w:rPr>
        <w:t>Zespół nauk……………../sztuki/do spraw kształcenia nauczycieli</w:t>
      </w:r>
      <w:r w:rsidRPr="00EC3A11">
        <w:rPr>
          <w:rFonts w:cstheme="minorHAnsi"/>
          <w:b/>
          <w:bCs/>
          <w:color w:val="223C83"/>
          <w:sz w:val="22"/>
          <w:szCs w:val="22"/>
        </w:rPr>
        <w:t xml:space="preserve"> </w:t>
      </w:r>
      <w:r w:rsidR="00733E7A" w:rsidRPr="00EC3A11">
        <w:rPr>
          <w:rFonts w:cstheme="minorHAnsi"/>
          <w:b/>
          <w:bCs/>
          <w:color w:val="223C83"/>
          <w:sz w:val="22"/>
          <w:szCs w:val="22"/>
        </w:rPr>
        <w:t xml:space="preserve">wyraża pozytywną opinię </w:t>
      </w:r>
      <w:r w:rsidR="00733E7A" w:rsidRPr="00EC3A11">
        <w:rPr>
          <w:rFonts w:cstheme="minorHAnsi"/>
          <w:sz w:val="22"/>
          <w:szCs w:val="22"/>
        </w:rPr>
        <w:t>w związku z tym, że studia</w:t>
      </w:r>
      <w:bookmarkEnd w:id="1"/>
      <w:r w:rsidR="00733E7A" w:rsidRPr="00EC3A11">
        <w:rPr>
          <w:rFonts w:cstheme="minorHAnsi"/>
          <w:sz w:val="22"/>
          <w:szCs w:val="22"/>
        </w:rPr>
        <w:t xml:space="preserve"> na kierunku</w:t>
      </w:r>
      <w:r w:rsidRPr="00EC3A11">
        <w:rPr>
          <w:rFonts w:cstheme="minorHAnsi"/>
          <w:sz w:val="22"/>
          <w:szCs w:val="22"/>
        </w:rPr>
        <w:t xml:space="preserve"> …………..</w:t>
      </w:r>
      <w:r w:rsidR="00733E7A" w:rsidRPr="00EC3A11">
        <w:rPr>
          <w:rFonts w:cstheme="minorHAnsi"/>
          <w:sz w:val="22"/>
          <w:szCs w:val="22"/>
        </w:rPr>
        <w:t xml:space="preserve"> na poziomie </w:t>
      </w:r>
      <w:r w:rsidR="00CE6D83" w:rsidRPr="00EC3A11">
        <w:rPr>
          <w:rFonts w:cstheme="minorHAnsi"/>
          <w:sz w:val="22"/>
          <w:szCs w:val="22"/>
        </w:rPr>
        <w:t>studiów</w:t>
      </w:r>
      <w:r w:rsidRPr="00EC3A11">
        <w:rPr>
          <w:rFonts w:cstheme="minorHAnsi"/>
          <w:sz w:val="22"/>
          <w:szCs w:val="22"/>
        </w:rPr>
        <w:t xml:space="preserve"> ………………</w:t>
      </w:r>
      <w:r w:rsidR="00733E7A" w:rsidRPr="00EC3A11">
        <w:rPr>
          <w:rFonts w:cstheme="minorHAnsi"/>
          <w:sz w:val="22"/>
          <w:szCs w:val="22"/>
        </w:rPr>
        <w:t xml:space="preserve">, o profilu </w:t>
      </w:r>
      <w:proofErr w:type="spellStart"/>
      <w:r w:rsidR="00A03B42">
        <w:rPr>
          <w:rFonts w:cstheme="minorHAnsi"/>
          <w:sz w:val="22"/>
          <w:szCs w:val="22"/>
        </w:rPr>
        <w:t>ogólnoakademickim</w:t>
      </w:r>
      <w:proofErr w:type="spellEnd"/>
      <w:r w:rsidR="00733E7A" w:rsidRPr="00EC3A11">
        <w:rPr>
          <w:rFonts w:cstheme="minorHAnsi"/>
          <w:sz w:val="22"/>
          <w:szCs w:val="22"/>
        </w:rPr>
        <w:t xml:space="preserve"> mają związek ze strategią uczelni oraz spełnione są warunki ich prowadzenia.</w:t>
      </w:r>
    </w:p>
    <w:p w14:paraId="0F6BF517" w14:textId="420490F5" w:rsidR="00733E7A" w:rsidRPr="00EC3A11" w:rsidRDefault="00733E7A" w:rsidP="00733E7A">
      <w:pPr>
        <w:pStyle w:val="Nagwek1"/>
        <w:spacing w:before="120" w:after="120"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bookmarkStart w:id="2" w:name="_Toc19271985"/>
      <w:r w:rsidRPr="00EC3A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Uzasadnienie oceny stopnia spełnienia szczegółowych kryteriów recenzowania wniosków o pozwolenie na utworzenie studiów na określonym kierunku poziomie i profilu (w porządku według poszczególnych kryteriów)</w:t>
      </w:r>
      <w:bookmarkEnd w:id="2"/>
      <w:r w:rsidRPr="00EC3A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3BA63272" w14:textId="77777777" w:rsidR="00733E7A" w:rsidRPr="00EC3A11" w:rsidRDefault="00733E7A" w:rsidP="00733E7A">
      <w:pPr>
        <w:spacing w:after="120" w:line="276" w:lineRule="auto"/>
        <w:jc w:val="both"/>
        <w:rPr>
          <w:rFonts w:cstheme="minorHAnsi"/>
          <w:b/>
          <w:bCs/>
          <w:sz w:val="22"/>
          <w:szCs w:val="22"/>
        </w:rPr>
      </w:pPr>
      <w:r w:rsidRPr="00EC3A11">
        <w:rPr>
          <w:rFonts w:cstheme="minorHAnsi"/>
          <w:b/>
          <w:bCs/>
          <w:sz w:val="22"/>
          <w:szCs w:val="22"/>
        </w:rPr>
        <w:t xml:space="preserve">Kryterium 1. Konstrukcja programu studiów: koncepcja, cele kształcenia i efekty uczenia się </w:t>
      </w:r>
    </w:p>
    <w:p w14:paraId="20680FC8" w14:textId="77777777" w:rsidR="00A03B42" w:rsidRDefault="00733E7A" w:rsidP="00A03B4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C3A11">
        <w:rPr>
          <w:rFonts w:cstheme="minorHAnsi"/>
          <w:sz w:val="22"/>
          <w:szCs w:val="22"/>
        </w:rPr>
        <w:t>Koncepcja</w:t>
      </w:r>
      <w:r w:rsidR="00A03B42" w:rsidRPr="00573B8F">
        <w:rPr>
          <w:rFonts w:ascii="Calibri" w:hAnsi="Calibri" w:cs="Calibri"/>
          <w:sz w:val="22"/>
          <w:szCs w:val="22"/>
        </w:rPr>
        <w:t xml:space="preserve"> i cele kształcenia są zgodne ze strategią uczelni, mieszczą się w dyscyplinie lub dyscyplinach, do których kierunek jest przyporządkowany, są powiązane z działalnością naukową prowadzoną w uczelni w tej dyscyplinie lub dyscyplinach oraz zorientowane na potrzeby otoczenia społeczno-gospodarczego, w tym w szczególności zawodowego rynku pracy</w:t>
      </w:r>
      <w:r w:rsidR="00A03B42">
        <w:rPr>
          <w:rFonts w:ascii="Calibri" w:hAnsi="Calibri" w:cs="Calibri"/>
          <w:sz w:val="22"/>
          <w:szCs w:val="22"/>
        </w:rPr>
        <w:t xml:space="preserve">. </w:t>
      </w:r>
      <w:r w:rsidR="00A03B42" w:rsidRPr="00573B8F">
        <w:rPr>
          <w:rFonts w:ascii="Calibri" w:hAnsi="Calibri" w:cs="Calibri"/>
          <w:sz w:val="22"/>
          <w:szCs w:val="22"/>
        </w:rPr>
        <w:t xml:space="preserve">Efekty uczenia się są zgodne z koncepcją i celami kształcenia oraz dyscypliną lub dyscyplinami, do których jest przyporządkowany kierunek, opisują, w sposób trafny, specyficzny, realistyczny i pozwalający na stworzenie systemu weryfikacji, wiedzę, umiejętności i kompetencje społeczne osiągane przez studentów, a także odpowiadają właściwemu poziomowi Polskiej Ramy Kwalifikacji oraz profilowi </w:t>
      </w:r>
      <w:proofErr w:type="spellStart"/>
      <w:r w:rsidR="00A03B42" w:rsidRPr="00573B8F">
        <w:rPr>
          <w:rFonts w:ascii="Calibri" w:hAnsi="Calibri" w:cs="Calibri"/>
          <w:sz w:val="22"/>
          <w:szCs w:val="22"/>
        </w:rPr>
        <w:t>ogólnoakademickiemu</w:t>
      </w:r>
      <w:proofErr w:type="spellEnd"/>
      <w:r w:rsidR="00A03B42">
        <w:rPr>
          <w:rFonts w:ascii="Calibri" w:hAnsi="Calibri" w:cs="Calibri"/>
          <w:sz w:val="22"/>
          <w:szCs w:val="22"/>
        </w:rPr>
        <w:t xml:space="preserve">. </w:t>
      </w:r>
    </w:p>
    <w:p w14:paraId="416C871B" w14:textId="3053C46B" w:rsidR="00A03B42" w:rsidRPr="004B5466" w:rsidRDefault="00A03B42" w:rsidP="00A03B42">
      <w:pPr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4B5466">
        <w:rPr>
          <w:rFonts w:ascii="Calibri" w:hAnsi="Calibri" w:cs="Calibri"/>
          <w:i/>
          <w:iCs/>
          <w:sz w:val="22"/>
          <w:szCs w:val="22"/>
        </w:rPr>
        <w:t xml:space="preserve">Efekty uczenia się w przypadku kierunków studiów przygotowujących do wykonywania zawodów, </w:t>
      </w:r>
      <w:r w:rsidR="004B5466">
        <w:rPr>
          <w:rFonts w:ascii="Calibri" w:hAnsi="Calibri" w:cs="Calibri"/>
          <w:i/>
          <w:iCs/>
          <w:sz w:val="22"/>
          <w:szCs w:val="22"/>
        </w:rPr>
        <w:br/>
      </w:r>
      <w:r w:rsidRPr="004B5466">
        <w:rPr>
          <w:rFonts w:ascii="Calibri" w:hAnsi="Calibri" w:cs="Calibri"/>
          <w:i/>
          <w:iCs/>
          <w:sz w:val="22"/>
          <w:szCs w:val="22"/>
        </w:rPr>
        <w:t xml:space="preserve">o których mowa w art. 68 ust. 1 ustawy zawierają pełny zakres ogólnych i szczegółowych efektów uczenia się zawartych w standardach kształcenia określonych w rozporządzeniach wydanych na podstawie art. 68 ust. 3 ustawy. </w:t>
      </w:r>
    </w:p>
    <w:p w14:paraId="44D2DD14" w14:textId="5DEFE38E" w:rsidR="00A52EB6" w:rsidRPr="004B5466" w:rsidRDefault="00A03B42" w:rsidP="00EC3A11">
      <w:pPr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4B5466">
        <w:rPr>
          <w:rFonts w:ascii="Calibri" w:hAnsi="Calibri" w:cs="Calibri"/>
          <w:i/>
          <w:iCs/>
          <w:sz w:val="22"/>
          <w:szCs w:val="22"/>
        </w:rPr>
        <w:t xml:space="preserve">Efekty uczenia się w przypadku kierunków studiów kończących się uzyskaniem tytułu zawodowego inżyniera lub magistra inżyniera zawierają pełny zakres efektów, umożliwiających uzyskanie kompetencji inżynierskich, zawartych w charakterystykach drugiego stopnia określonych </w:t>
      </w:r>
      <w:r w:rsidR="004B5466">
        <w:rPr>
          <w:rFonts w:ascii="Calibri" w:hAnsi="Calibri" w:cs="Calibri"/>
          <w:i/>
          <w:iCs/>
          <w:sz w:val="22"/>
          <w:szCs w:val="22"/>
        </w:rPr>
        <w:br/>
      </w:r>
      <w:r w:rsidRPr="004B5466">
        <w:rPr>
          <w:rFonts w:ascii="Calibri" w:hAnsi="Calibri" w:cs="Calibri"/>
          <w:i/>
          <w:iCs/>
          <w:sz w:val="22"/>
          <w:szCs w:val="22"/>
        </w:rPr>
        <w:t xml:space="preserve">w przepisach wydanych na podstawie art. 7 ust. 3 ustawy z dnia 22 grudnia 2015 r. </w:t>
      </w:r>
      <w:r w:rsidR="004B5466">
        <w:rPr>
          <w:rFonts w:ascii="Calibri" w:hAnsi="Calibri" w:cs="Calibri"/>
          <w:i/>
          <w:iCs/>
          <w:sz w:val="22"/>
          <w:szCs w:val="22"/>
        </w:rPr>
        <w:br/>
      </w:r>
      <w:r w:rsidRPr="004B5466">
        <w:rPr>
          <w:rFonts w:ascii="Calibri" w:hAnsi="Calibri" w:cs="Calibri"/>
          <w:i/>
          <w:iCs/>
          <w:sz w:val="22"/>
          <w:szCs w:val="22"/>
        </w:rPr>
        <w:t>o Zintegrowanym Systemie Kwalifikacji (Dz. U. z 2018 r. poz. 2153 i 2245).</w:t>
      </w:r>
    </w:p>
    <w:p w14:paraId="3C81682A" w14:textId="77777777" w:rsidR="00733E7A" w:rsidRPr="00EC3A11" w:rsidRDefault="00733E7A" w:rsidP="00A52EB6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4B85F530" w14:textId="77777777" w:rsidR="00733E7A" w:rsidRPr="00EC3A11" w:rsidRDefault="00733E7A" w:rsidP="00733E7A">
      <w:pPr>
        <w:spacing w:after="120" w:line="276" w:lineRule="auto"/>
        <w:jc w:val="both"/>
        <w:rPr>
          <w:rFonts w:cstheme="minorHAnsi"/>
          <w:b/>
          <w:bCs/>
          <w:sz w:val="22"/>
          <w:szCs w:val="22"/>
        </w:rPr>
      </w:pPr>
      <w:r w:rsidRPr="00EC3A11">
        <w:rPr>
          <w:rFonts w:cstheme="minorHAnsi"/>
          <w:b/>
          <w:bCs/>
          <w:sz w:val="22"/>
          <w:szCs w:val="22"/>
        </w:rPr>
        <w:t xml:space="preserve">Kryterium 2. Realizacja programu studiów: treści programowe, harmonogram realizacji programu studiów oraz formy i organizacja zajęć, metody kształcenia, praktyki zawodowe, organizacja procesu nauczania i uczenia się </w:t>
      </w:r>
    </w:p>
    <w:p w14:paraId="0897099A" w14:textId="77777777" w:rsidR="00A03B42" w:rsidRDefault="00733E7A" w:rsidP="00A03B4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C3A11">
        <w:rPr>
          <w:rFonts w:cstheme="minorHAnsi"/>
          <w:sz w:val="22"/>
          <w:szCs w:val="22"/>
        </w:rPr>
        <w:t>Treści</w:t>
      </w:r>
      <w:r w:rsidR="00A52EB6" w:rsidRPr="00EC3A11">
        <w:rPr>
          <w:rFonts w:cstheme="minorHAnsi"/>
          <w:sz w:val="22"/>
          <w:szCs w:val="22"/>
        </w:rPr>
        <w:t xml:space="preserve"> </w:t>
      </w:r>
      <w:r w:rsidR="00A03B42" w:rsidRPr="00573B8F">
        <w:rPr>
          <w:rFonts w:ascii="Calibri" w:hAnsi="Calibri" w:cs="Calibri"/>
          <w:sz w:val="22"/>
          <w:szCs w:val="22"/>
        </w:rPr>
        <w:t>programowe są zgodne z efektami uczenia się oraz uwzględniają w szczególności aktualny stan wiedzy i metodyki badań w dyscyplinie lub dyscyplinach, do których jest przyporządkowany kierunek, jak również wyniki działalności naukowej uczelni w tej dyscyplinie lub dyscyplinach</w:t>
      </w:r>
      <w:r w:rsidR="00A03B42">
        <w:rPr>
          <w:rFonts w:ascii="Calibri" w:hAnsi="Calibri" w:cs="Calibri"/>
          <w:sz w:val="22"/>
          <w:szCs w:val="22"/>
        </w:rPr>
        <w:t xml:space="preserve">. </w:t>
      </w:r>
    </w:p>
    <w:p w14:paraId="63B967EB" w14:textId="77777777" w:rsidR="00A03B42" w:rsidRPr="004B5466" w:rsidRDefault="00A03B42" w:rsidP="00A03B42">
      <w:pPr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4B5466">
        <w:rPr>
          <w:rFonts w:ascii="Calibri" w:hAnsi="Calibri" w:cs="Calibri"/>
          <w:i/>
          <w:iCs/>
          <w:sz w:val="22"/>
          <w:szCs w:val="22"/>
        </w:rPr>
        <w:t xml:space="preserve">Treści programowe w przypadku kierunków studiów przygotowujących do wykonywania zawodów, o których mowa w art. 68 ust. 1 ustawy obejmują pełny zakres treści programowych zawartych </w:t>
      </w:r>
      <w:r w:rsidRPr="004B5466">
        <w:rPr>
          <w:rFonts w:ascii="Calibri" w:hAnsi="Calibri" w:cs="Calibri"/>
          <w:i/>
          <w:iCs/>
          <w:sz w:val="22"/>
          <w:szCs w:val="22"/>
        </w:rPr>
        <w:br/>
        <w:t xml:space="preserve">w standardach kształcenia określonych w rozporządzeniach wydanych na podstawie art. 68 ust. 3 ustawy. </w:t>
      </w:r>
    </w:p>
    <w:p w14:paraId="1D413079" w14:textId="77777777" w:rsidR="00A03B42" w:rsidRDefault="00A03B42" w:rsidP="00A03B4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73B8F">
        <w:rPr>
          <w:rFonts w:ascii="Calibri" w:hAnsi="Calibri" w:cs="Calibri"/>
          <w:sz w:val="22"/>
          <w:szCs w:val="22"/>
        </w:rPr>
        <w:t xml:space="preserve">Harmonogram realizacji programu studiów oraz formy i organizacja zajęć, a także liczba semestrów, liczba godzin zajęć prowadzonych z bezpośrednim udziałem nauczycieli akademickich lub innych </w:t>
      </w:r>
      <w:r w:rsidRPr="00573B8F">
        <w:rPr>
          <w:rFonts w:ascii="Calibri" w:hAnsi="Calibri" w:cs="Calibri"/>
          <w:sz w:val="22"/>
          <w:szCs w:val="22"/>
        </w:rPr>
        <w:lastRenderedPageBreak/>
        <w:t>osób prowadzących zajęcia i szacowany nakład pracy studentów mierzony liczbą punktów ECTS, umożliwiają studentom osiągnięcie wszystkich efektów uczenia się.</w:t>
      </w:r>
    </w:p>
    <w:p w14:paraId="7B6DDFDD" w14:textId="56B19DAA" w:rsidR="00A03B42" w:rsidRPr="004B5466" w:rsidRDefault="00A03B42" w:rsidP="00A03B42">
      <w:pPr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4B5466">
        <w:rPr>
          <w:rFonts w:ascii="Calibri" w:hAnsi="Calibri" w:cs="Calibri"/>
          <w:i/>
          <w:iCs/>
          <w:sz w:val="22"/>
          <w:szCs w:val="22"/>
        </w:rPr>
        <w:t xml:space="preserve">Harmonogram realizacji programu studiów oraz formy i organizacja zajęć, a także liczba semestrów, liczba godzin zajęć prowadzonych z bezpośrednim udziałem nauczycieli akademickich lub innych osób prowadzących zajęcia i szacowany nakład pracy studentów mierzony liczbą punktów ECTS </w:t>
      </w:r>
      <w:r w:rsidRPr="004B5466">
        <w:rPr>
          <w:rFonts w:ascii="Calibri" w:hAnsi="Calibri" w:cs="Calibri"/>
          <w:i/>
          <w:iCs/>
          <w:sz w:val="22"/>
          <w:szCs w:val="22"/>
        </w:rPr>
        <w:br/>
        <w:t xml:space="preserve">w przypadku kierunków studiów przygotowujących do wykonywania zawodów, o których mowa </w:t>
      </w:r>
      <w:r w:rsidRPr="004B5466">
        <w:rPr>
          <w:rFonts w:ascii="Calibri" w:hAnsi="Calibri" w:cs="Calibri"/>
          <w:i/>
          <w:iCs/>
          <w:sz w:val="22"/>
          <w:szCs w:val="22"/>
        </w:rPr>
        <w:br/>
        <w:t>w art. 68 ust. 1 ustawy są zgodne z regułami i wymaganiami zawartymi w standardach kształcenia określonych w rozporządzeniach wydanych na podstawie art. 68 ust. 3 ustawy.</w:t>
      </w:r>
    </w:p>
    <w:p w14:paraId="319C91CC" w14:textId="77777777" w:rsidR="00A03B42" w:rsidRDefault="00A03B42" w:rsidP="00A03B4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73B8F">
        <w:rPr>
          <w:rFonts w:ascii="Calibri" w:hAnsi="Calibri" w:cs="Calibri"/>
          <w:sz w:val="22"/>
          <w:szCs w:val="22"/>
        </w:rPr>
        <w:t xml:space="preserve">Metody kształcenia są zorientowane na studentów, motywują ich do aktywnego udziału w procesie nauczania i uczenia się oraz umożliwiają studentom osiągnięcie efektów uczenia się, w tym </w:t>
      </w:r>
      <w:r>
        <w:rPr>
          <w:rFonts w:ascii="Calibri" w:hAnsi="Calibri" w:cs="Calibri"/>
          <w:sz w:val="22"/>
          <w:szCs w:val="22"/>
        </w:rPr>
        <w:br/>
      </w:r>
      <w:r w:rsidRPr="00573B8F">
        <w:rPr>
          <w:rFonts w:ascii="Calibri" w:hAnsi="Calibri" w:cs="Calibri"/>
          <w:sz w:val="22"/>
          <w:szCs w:val="22"/>
        </w:rPr>
        <w:t>w szczególności umożliwiają przygotowanie do prowadzenia działalności naukowej lub udział w tej działalności.</w:t>
      </w:r>
      <w:r>
        <w:rPr>
          <w:rFonts w:ascii="Calibri" w:hAnsi="Calibri" w:cs="Calibri"/>
          <w:sz w:val="22"/>
          <w:szCs w:val="22"/>
        </w:rPr>
        <w:t xml:space="preserve"> </w:t>
      </w:r>
      <w:r w:rsidRPr="00573B8F">
        <w:rPr>
          <w:rFonts w:ascii="Calibri" w:hAnsi="Calibri" w:cs="Calibri"/>
          <w:sz w:val="22"/>
          <w:szCs w:val="22"/>
        </w:rPr>
        <w:t>Jeśli w programie studiów uwzględnione są praktyki zawodowe, ich program, organizacja i nadzór nad realizacją, dobór miejsc odbywania oraz środowisko, w którym mają miejsce, w tym infrastruktura, a także kompetencje opiekunów zapewniają prawidłową realizację praktyk oraz osiągnięcie przez studentów efektów uczenia się, w szczególności tych, które są związane z nabywaniem kompetencji badawczych.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ED98ED4" w14:textId="72C1B2C5" w:rsidR="00A03B42" w:rsidRPr="004B5466" w:rsidRDefault="00124DC9" w:rsidP="00A03B42">
      <w:pPr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4B5466">
        <w:rPr>
          <w:rFonts w:ascii="Calibri" w:hAnsi="Calibri" w:cs="Calibri"/>
          <w:i/>
          <w:iCs/>
          <w:sz w:val="22"/>
          <w:szCs w:val="22"/>
        </w:rPr>
        <w:t>Program p</w:t>
      </w:r>
      <w:r w:rsidR="00A03B42" w:rsidRPr="004B5466">
        <w:rPr>
          <w:rFonts w:ascii="Calibri" w:hAnsi="Calibri" w:cs="Calibri"/>
          <w:i/>
          <w:iCs/>
          <w:sz w:val="22"/>
          <w:szCs w:val="22"/>
        </w:rPr>
        <w:t xml:space="preserve">raktyk zawodowych, organizacja i nadzór nad ich realizacją, dobór miejsc odbywania oraz środowisko, w którym mają miejsce, w tym infrastruktura, a także kompetencje opiekunów, </w:t>
      </w:r>
      <w:r w:rsidRPr="004B5466">
        <w:rPr>
          <w:rFonts w:ascii="Calibri" w:hAnsi="Calibri" w:cs="Calibri"/>
          <w:i/>
          <w:iCs/>
          <w:sz w:val="22"/>
          <w:szCs w:val="22"/>
        </w:rPr>
        <w:br/>
      </w:r>
      <w:r w:rsidR="00A03B42" w:rsidRPr="004B5466">
        <w:rPr>
          <w:rFonts w:ascii="Calibri" w:hAnsi="Calibri" w:cs="Calibri"/>
          <w:i/>
          <w:iCs/>
          <w:sz w:val="22"/>
          <w:szCs w:val="22"/>
        </w:rPr>
        <w:t xml:space="preserve">w przypadku kierunków studiów przygotowujących do wykonywania zawodów, o których mowa </w:t>
      </w:r>
      <w:r w:rsidRPr="004B5466">
        <w:rPr>
          <w:rFonts w:ascii="Calibri" w:hAnsi="Calibri" w:cs="Calibri"/>
          <w:i/>
          <w:iCs/>
          <w:sz w:val="22"/>
          <w:szCs w:val="22"/>
        </w:rPr>
        <w:br/>
      </w:r>
      <w:r w:rsidR="00A03B42" w:rsidRPr="004B5466">
        <w:rPr>
          <w:rFonts w:ascii="Calibri" w:hAnsi="Calibri" w:cs="Calibri"/>
          <w:i/>
          <w:iCs/>
          <w:sz w:val="22"/>
          <w:szCs w:val="22"/>
        </w:rPr>
        <w:t>w art. 68 ust. 1 ustawy są zgodne z regułami i wymaganiami zawartymi w standardach kształcenia określonych w rozporządzeniach wydanych na podstawie art. 68 ust. 3 ustawy.</w:t>
      </w:r>
    </w:p>
    <w:p w14:paraId="280C884E" w14:textId="77777777" w:rsidR="00124DC9" w:rsidRPr="004B5466" w:rsidRDefault="00A03B42" w:rsidP="00124DC9">
      <w:pPr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4B5466">
        <w:rPr>
          <w:rFonts w:ascii="Calibri" w:hAnsi="Calibri" w:cs="Calibri"/>
          <w:i/>
          <w:iCs/>
          <w:sz w:val="22"/>
          <w:szCs w:val="22"/>
        </w:rPr>
        <w:t>Organizacja procesu nauczania zapewnia efektywne wykorzystanie czasu przeznaczonego na nauczanie i uczenie się oraz weryfikację i ocenę efektów uczenia się.</w:t>
      </w:r>
    </w:p>
    <w:p w14:paraId="3BED9D18" w14:textId="0BF416F9" w:rsidR="00A03B42" w:rsidRPr="004B5466" w:rsidRDefault="00124DC9" w:rsidP="00A03B42">
      <w:pPr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4B5466">
        <w:rPr>
          <w:rFonts w:ascii="Calibri" w:hAnsi="Calibri" w:cs="Calibri"/>
          <w:i/>
          <w:iCs/>
          <w:sz w:val="22"/>
          <w:szCs w:val="22"/>
        </w:rPr>
        <w:t xml:space="preserve">Organizacja procesu nauczania i uczenia się w przypadku kierunków studiów przygotowujących do wykonywania zawodów, o których mowa w art. 68 ust. 1 ustawy jest zgodna z regułami </w:t>
      </w:r>
      <w:r w:rsidRPr="004B5466">
        <w:rPr>
          <w:rFonts w:ascii="Calibri" w:hAnsi="Calibri" w:cs="Calibri"/>
          <w:i/>
          <w:iCs/>
          <w:sz w:val="22"/>
          <w:szCs w:val="22"/>
        </w:rPr>
        <w:br/>
        <w:t>i wymaganiami w zakresie sposobu organizacji kształcenia zawartymi w standardach kształcenia określonych w rozporządzeniach wydanych na podstawie art. 68 ust. 3 ustawy.</w:t>
      </w:r>
    </w:p>
    <w:p w14:paraId="6A62D6B1" w14:textId="77777777" w:rsidR="00733E7A" w:rsidRPr="00EC3A11" w:rsidRDefault="00733E7A" w:rsidP="00733E7A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6CD33B0F" w14:textId="77777777" w:rsidR="00733E7A" w:rsidRPr="00EC3A11" w:rsidRDefault="00733E7A" w:rsidP="00733E7A">
      <w:pPr>
        <w:spacing w:after="120" w:line="276" w:lineRule="auto"/>
        <w:jc w:val="both"/>
        <w:rPr>
          <w:rFonts w:cstheme="minorHAnsi"/>
          <w:b/>
          <w:bCs/>
          <w:sz w:val="22"/>
          <w:szCs w:val="22"/>
        </w:rPr>
      </w:pPr>
      <w:r w:rsidRPr="00EC3A11">
        <w:rPr>
          <w:rFonts w:cstheme="minorHAnsi"/>
          <w:b/>
          <w:bCs/>
          <w:sz w:val="22"/>
          <w:szCs w:val="22"/>
        </w:rPr>
        <w:t xml:space="preserve">Kryterium 3. Przyjęcie na studia, weryfikacja osiągnięcia przez studentów efektów uczenia się, zaliczanie poszczególnych semestrów i lat oraz dyplomowanie </w:t>
      </w:r>
    </w:p>
    <w:p w14:paraId="25AA5CB7" w14:textId="2AD2F136" w:rsidR="00124DC9" w:rsidRDefault="00733E7A" w:rsidP="00124DC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C3A11">
        <w:rPr>
          <w:rFonts w:cstheme="minorHAnsi"/>
          <w:sz w:val="22"/>
          <w:szCs w:val="22"/>
        </w:rPr>
        <w:t>Zostały</w:t>
      </w:r>
      <w:r w:rsidR="00124DC9">
        <w:rPr>
          <w:rFonts w:cstheme="minorHAnsi"/>
          <w:sz w:val="22"/>
          <w:szCs w:val="22"/>
        </w:rPr>
        <w:t xml:space="preserve"> </w:t>
      </w:r>
      <w:r w:rsidR="00124DC9" w:rsidRPr="00573B8F">
        <w:rPr>
          <w:rFonts w:ascii="Calibri" w:hAnsi="Calibri" w:cs="Calibri"/>
          <w:sz w:val="22"/>
          <w:szCs w:val="22"/>
        </w:rPr>
        <w:t>określone kompetencje oczekiwane od kandydatów ubiegających się o przyjęcie na studia, zasady progresji studentów i zaliczania poszczególnych semestrów i lat studiów, w tym dyplomowania. Zasady i kryteria przyjęcia na studia umożliwiają właściwy dobór kandydatów</w:t>
      </w:r>
      <w:r w:rsidR="00124DC9">
        <w:rPr>
          <w:rFonts w:ascii="Calibri" w:hAnsi="Calibri" w:cs="Calibri"/>
          <w:sz w:val="22"/>
          <w:szCs w:val="22"/>
        </w:rPr>
        <w:t xml:space="preserve">. </w:t>
      </w:r>
      <w:r w:rsidR="00124DC9" w:rsidRPr="00573B8F">
        <w:rPr>
          <w:rFonts w:ascii="Calibri" w:hAnsi="Calibri" w:cs="Calibri"/>
          <w:sz w:val="22"/>
          <w:szCs w:val="22"/>
        </w:rPr>
        <w:t xml:space="preserve">System weryfikacji efektów uczenia się umożliwia monitorowanie postępów w uczeniu się oraz rzetelną i wiarygodną ocenę stopnia osiągnięcia przez studentów efektów uczenia się, a stosowane metody weryfikacji i oceny pozwalają na sprawdzenie i ocenę wszystkich efektów uczenia się, </w:t>
      </w:r>
      <w:r w:rsidR="00124DC9">
        <w:rPr>
          <w:rFonts w:ascii="Calibri" w:hAnsi="Calibri" w:cs="Calibri"/>
          <w:sz w:val="22"/>
          <w:szCs w:val="22"/>
        </w:rPr>
        <w:br/>
      </w:r>
      <w:r w:rsidR="00124DC9" w:rsidRPr="00573B8F">
        <w:rPr>
          <w:rFonts w:ascii="Calibri" w:hAnsi="Calibri" w:cs="Calibri"/>
          <w:sz w:val="22"/>
          <w:szCs w:val="22"/>
        </w:rPr>
        <w:t>w tym w szczególności przygotowania do prowadzenia działalności naukowej lub udział w tej działalności.</w:t>
      </w:r>
      <w:r w:rsidR="00124DC9">
        <w:rPr>
          <w:rFonts w:ascii="Calibri" w:hAnsi="Calibri" w:cs="Calibri"/>
          <w:sz w:val="22"/>
          <w:szCs w:val="22"/>
        </w:rPr>
        <w:t xml:space="preserve"> </w:t>
      </w:r>
    </w:p>
    <w:p w14:paraId="1BDF74F0" w14:textId="57EB3E69" w:rsidR="00733E7A" w:rsidRPr="004B5466" w:rsidRDefault="00124DC9" w:rsidP="00733E7A">
      <w:pPr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4B5466">
        <w:rPr>
          <w:rFonts w:ascii="Calibri" w:hAnsi="Calibri" w:cs="Calibri"/>
          <w:i/>
          <w:iCs/>
          <w:sz w:val="22"/>
          <w:szCs w:val="22"/>
        </w:rPr>
        <w:t>Metody weryfikacji efektów uczenia się w przypadku kierunków studiów przygotowujących do wykonywania zawodów, o których mowa w art. 68 ust. 1 ustawy są zgodne z regułami i wymaganiami zawartymi w standardach kształcenia określonych w rozporządzeniach wydanych na podstawie art. 68 ust. 3 ustawy.</w:t>
      </w:r>
    </w:p>
    <w:p w14:paraId="76C626FF" w14:textId="77777777" w:rsidR="00124DC9" w:rsidRPr="00124DC9" w:rsidRDefault="00124DC9" w:rsidP="00733E7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695E0A5" w14:textId="77777777" w:rsidR="00733E7A" w:rsidRPr="00EC3A11" w:rsidRDefault="00733E7A" w:rsidP="00733E7A">
      <w:pPr>
        <w:spacing w:after="120" w:line="276" w:lineRule="auto"/>
        <w:jc w:val="both"/>
        <w:rPr>
          <w:rFonts w:cstheme="minorHAnsi"/>
          <w:b/>
          <w:bCs/>
          <w:sz w:val="22"/>
          <w:szCs w:val="22"/>
        </w:rPr>
      </w:pPr>
      <w:r w:rsidRPr="00EC3A11">
        <w:rPr>
          <w:rFonts w:cstheme="minorHAnsi"/>
          <w:b/>
          <w:bCs/>
          <w:sz w:val="22"/>
          <w:szCs w:val="22"/>
        </w:rPr>
        <w:t xml:space="preserve">Kryterium 4. Kompetencje, doświadczenie, kwalifikacje i liczebność kadry prowadzącej kształcenie oraz rozwój i doskonalenie kadry </w:t>
      </w:r>
    </w:p>
    <w:p w14:paraId="4AAD5A23" w14:textId="77777777" w:rsidR="00124DC9" w:rsidRDefault="00124DC9" w:rsidP="00124DC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73B8F">
        <w:rPr>
          <w:rFonts w:ascii="Calibri" w:hAnsi="Calibri" w:cs="Calibri"/>
          <w:sz w:val="22"/>
          <w:szCs w:val="22"/>
        </w:rPr>
        <w:lastRenderedPageBreak/>
        <w:t>Kompetencje i doświadczenie, kwalifikacje oraz liczba nauczycieli akademickich i innych osób prowadzących zajęcia ze studentami zapewniają prawidłową realizację zajęć oraz osiągnięcie przez studentów efektów uczenia się.</w:t>
      </w:r>
    </w:p>
    <w:p w14:paraId="142DF53D" w14:textId="77777777" w:rsidR="00124DC9" w:rsidRPr="004B5466" w:rsidRDefault="00124DC9" w:rsidP="00124DC9">
      <w:pPr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4B5466">
        <w:rPr>
          <w:rFonts w:ascii="Calibri" w:hAnsi="Calibri" w:cs="Calibri"/>
          <w:i/>
          <w:iCs/>
          <w:sz w:val="22"/>
          <w:szCs w:val="22"/>
        </w:rPr>
        <w:t>Kompetencje i doświadczenie oraz kwalifikacje nauczycieli akademickich i innych osób prowadzących zajęcia ze studentami w przypadku kierunków studiów przygotowujących do wykonywania zawodów, o których mowa w art. 68 ust. 1 ustawy są zgodne z regułami i wymaganiami zawartymi w standardach kształcenia określonych w rozporządzeniach wydanych na podstawie art. 68 ust. 3 ustawy.</w:t>
      </w:r>
    </w:p>
    <w:p w14:paraId="3E02DDFA" w14:textId="68FB8519" w:rsidR="00124DC9" w:rsidRPr="00573B8F" w:rsidRDefault="00124DC9" w:rsidP="00124DC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73B8F">
        <w:rPr>
          <w:rFonts w:ascii="Calibri" w:hAnsi="Calibri" w:cs="Calibri"/>
          <w:sz w:val="22"/>
          <w:szCs w:val="22"/>
        </w:rPr>
        <w:t>Planowane działania na rzecz doskonalenia programu studiów oraz zapewnienia jakości kształcenia uwzględniają transparentne i adekwatne do potrzeb związanych z prawidłową realizacją zajęć zasady doboru nauczycieli akademickich i innych osób prowadzących zajęcia,, systematyczną ocenę kadry prowadzącej kształcenie, realizowaną z udziałem studentów oraz wykorzystywanie wyników oceny w doskonaleniu kadry, jak również kreowanie warunków stymulujących kadrę do ustawicznego rozwoju.</w:t>
      </w:r>
    </w:p>
    <w:p w14:paraId="3CFCD2CD" w14:textId="77777777" w:rsidR="00EC3A11" w:rsidRPr="00EC3A11" w:rsidRDefault="00EC3A11" w:rsidP="00EC3A11">
      <w:pPr>
        <w:spacing w:line="276" w:lineRule="auto"/>
        <w:jc w:val="both"/>
        <w:rPr>
          <w:rFonts w:cstheme="minorHAnsi"/>
          <w:bCs/>
          <w:sz w:val="22"/>
          <w:szCs w:val="22"/>
        </w:rPr>
      </w:pPr>
    </w:p>
    <w:p w14:paraId="77D2560B" w14:textId="07B98D65" w:rsidR="00733E7A" w:rsidRPr="00EC3A11" w:rsidRDefault="00733E7A" w:rsidP="00733E7A">
      <w:pPr>
        <w:spacing w:after="120" w:line="276" w:lineRule="auto"/>
        <w:jc w:val="both"/>
        <w:rPr>
          <w:rFonts w:cstheme="minorHAnsi"/>
          <w:b/>
          <w:bCs/>
          <w:sz w:val="22"/>
          <w:szCs w:val="22"/>
        </w:rPr>
      </w:pPr>
      <w:r w:rsidRPr="00EC3A11">
        <w:rPr>
          <w:rFonts w:cstheme="minorHAnsi"/>
          <w:b/>
          <w:bCs/>
          <w:sz w:val="22"/>
          <w:szCs w:val="22"/>
        </w:rPr>
        <w:t xml:space="preserve">Kryterium 5. Infrastruktura i zasoby edukacyjne wykorzystywane w realizacji programu studiów oraz ich doskonalenie </w:t>
      </w:r>
    </w:p>
    <w:p w14:paraId="53E54AD3" w14:textId="77777777" w:rsidR="00124DC9" w:rsidRDefault="00733E7A" w:rsidP="00124DC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C3A11">
        <w:rPr>
          <w:rFonts w:cstheme="minorHAnsi"/>
          <w:sz w:val="22"/>
          <w:szCs w:val="22"/>
        </w:rPr>
        <w:t>Infrastruktura</w:t>
      </w:r>
      <w:r w:rsidR="00124DC9">
        <w:rPr>
          <w:rFonts w:cstheme="minorHAnsi"/>
          <w:sz w:val="22"/>
          <w:szCs w:val="22"/>
        </w:rPr>
        <w:t xml:space="preserve"> </w:t>
      </w:r>
      <w:r w:rsidR="00124DC9" w:rsidRPr="00573B8F">
        <w:rPr>
          <w:rFonts w:ascii="Calibri" w:hAnsi="Calibri" w:cs="Calibri"/>
          <w:sz w:val="22"/>
          <w:szCs w:val="22"/>
        </w:rPr>
        <w:t>dydaktyczna, naukowa, biblioteczna i informatyczna, wyposażenie techniczne pomieszczeń, środki i pomoce dydaktyczne, zasoby biblioteczne, informacyjne, edukacyjne oraz aparatura badawcza, a także infrastruktura innych podmiotów, w których odbywają się zajęcia są nowoczesne, umożliwiają prawidłową realizację zajęć i osiągnięcie przez studentów efektów uczenia się, w tym przygotowanie do prowadzenia działalności naukowej lub udział w tej działalności, jak również są dostosowane do potrzeb osób z niepełnosprawnością, w sposób zapewniający tym osobom pełny udział w kształceniu i prowadzeniu działalności naukowej.</w:t>
      </w:r>
    </w:p>
    <w:p w14:paraId="298679DC" w14:textId="77777777" w:rsidR="00124DC9" w:rsidRPr="004B5466" w:rsidRDefault="00124DC9" w:rsidP="00124DC9">
      <w:pPr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4B5466">
        <w:rPr>
          <w:rFonts w:ascii="Calibri" w:hAnsi="Calibri" w:cs="Calibri"/>
          <w:i/>
          <w:iCs/>
          <w:sz w:val="22"/>
          <w:szCs w:val="22"/>
        </w:rPr>
        <w:t>Infrastruktura dydaktyczna i naukowa uczelni, a także infrastruktura innych podmiotów, w których odbywają się zajęcia w przypadku kierunków studiów przygotowujących do wykonywania zawodów, o których mowa w art. 68 ust. 1 ustawy są zgodne z regułami i wymaganiami zawartymi w standardach kształcenia określonych w rozporządzeniach wydanych na podstawie art. 68 ust. 3 ustawy.</w:t>
      </w:r>
    </w:p>
    <w:p w14:paraId="5B3BD9EF" w14:textId="0D7E6DD8" w:rsidR="00733E7A" w:rsidRPr="00124DC9" w:rsidRDefault="00124DC9" w:rsidP="00EC3A1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73B8F">
        <w:rPr>
          <w:rFonts w:ascii="Calibri" w:hAnsi="Calibri" w:cs="Calibri"/>
          <w:sz w:val="22"/>
          <w:szCs w:val="22"/>
        </w:rPr>
        <w:t xml:space="preserve">Planowane działania na rzecz doskonalenia programu studiów oraz zapewnienia jakości kształcenia uwzględniają systematyczne przeglądy infrastruktury dydaktycznej, naukowej, bibliotecznej </w:t>
      </w:r>
      <w:r>
        <w:rPr>
          <w:rFonts w:ascii="Calibri" w:hAnsi="Calibri" w:cs="Calibri"/>
          <w:sz w:val="22"/>
          <w:szCs w:val="22"/>
        </w:rPr>
        <w:br/>
      </w:r>
      <w:r w:rsidRPr="00573B8F">
        <w:rPr>
          <w:rFonts w:ascii="Calibri" w:hAnsi="Calibri" w:cs="Calibri"/>
          <w:sz w:val="22"/>
          <w:szCs w:val="22"/>
        </w:rPr>
        <w:t>i informatycznej, wyposażenia technicznego pomieszczeń, środków i pomocy dydaktycznych, zasobów bibliotecznych, informacyjnych, edukacyjnych oraz aparatury badawczej, w których uczestniczą studenci oraz wykorzystywanie wyników przeglądów w działaniach doskonalących.</w:t>
      </w:r>
    </w:p>
    <w:p w14:paraId="22247C12" w14:textId="77777777" w:rsidR="00733E7A" w:rsidRPr="00EC3A11" w:rsidRDefault="00733E7A" w:rsidP="00733E7A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</w:p>
    <w:p w14:paraId="6CB874A3" w14:textId="77777777" w:rsidR="00733E7A" w:rsidRPr="00EC3A11" w:rsidRDefault="00733E7A" w:rsidP="00733E7A">
      <w:pPr>
        <w:spacing w:after="120" w:line="276" w:lineRule="auto"/>
        <w:jc w:val="both"/>
        <w:rPr>
          <w:rFonts w:cstheme="minorHAnsi"/>
          <w:b/>
          <w:bCs/>
          <w:sz w:val="22"/>
          <w:szCs w:val="22"/>
        </w:rPr>
      </w:pPr>
      <w:r w:rsidRPr="00EC3A11">
        <w:rPr>
          <w:rFonts w:cstheme="minorHAnsi"/>
          <w:b/>
          <w:bCs/>
          <w:sz w:val="22"/>
          <w:szCs w:val="22"/>
        </w:rPr>
        <w:t xml:space="preserve">Kryterium 6. Współpraca z otoczeniem społeczno-gospodarczym w konstruowaniu, realizacji i doskonaleniu programu studiów oraz jej wpływ na rozwój kierunku </w:t>
      </w:r>
    </w:p>
    <w:p w14:paraId="7B5F7098" w14:textId="7E28AE2B" w:rsidR="00733E7A" w:rsidRPr="00EC3A11" w:rsidRDefault="00733E7A" w:rsidP="00733E7A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  <w:r w:rsidRPr="00EC3A11">
        <w:rPr>
          <w:sz w:val="22"/>
          <w:szCs w:val="22"/>
        </w:rPr>
        <w:t>Koncepcja kształcenia jest zgodna z potrzebami otoczenia społeczno-gospodarczego</w:t>
      </w:r>
      <w:r w:rsidR="00EC112B" w:rsidRPr="00EC3A11">
        <w:rPr>
          <w:sz w:val="22"/>
          <w:szCs w:val="22"/>
        </w:rPr>
        <w:t>.</w:t>
      </w:r>
    </w:p>
    <w:p w14:paraId="176F8044" w14:textId="77777777" w:rsidR="00733E7A" w:rsidRPr="00EC3A11" w:rsidRDefault="00733E7A" w:rsidP="00733E7A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</w:p>
    <w:p w14:paraId="2B986CB9" w14:textId="77777777" w:rsidR="00733E7A" w:rsidRPr="00EC3A11" w:rsidRDefault="00733E7A" w:rsidP="00733E7A">
      <w:pPr>
        <w:spacing w:after="120" w:line="276" w:lineRule="auto"/>
        <w:jc w:val="both"/>
        <w:rPr>
          <w:rFonts w:cstheme="minorHAnsi"/>
          <w:b/>
          <w:bCs/>
          <w:sz w:val="22"/>
          <w:szCs w:val="22"/>
        </w:rPr>
      </w:pPr>
      <w:r w:rsidRPr="00EC3A11">
        <w:rPr>
          <w:rFonts w:cstheme="minorHAnsi"/>
          <w:b/>
          <w:bCs/>
          <w:sz w:val="22"/>
          <w:szCs w:val="22"/>
        </w:rPr>
        <w:t xml:space="preserve">Kryterium 7. Warunki i sposoby podnoszenia stopnia umiędzynarodowienia procesu kształcenia na kierunku </w:t>
      </w:r>
    </w:p>
    <w:p w14:paraId="521E5287" w14:textId="272B69E5" w:rsidR="00733E7A" w:rsidRDefault="00733E7A" w:rsidP="00124DC9">
      <w:pPr>
        <w:spacing w:line="276" w:lineRule="auto"/>
        <w:jc w:val="both"/>
        <w:rPr>
          <w:rFonts w:cstheme="minorHAnsi"/>
          <w:sz w:val="22"/>
          <w:szCs w:val="22"/>
        </w:rPr>
      </w:pPr>
      <w:r w:rsidRPr="00EC3A11">
        <w:rPr>
          <w:rFonts w:cstheme="minorHAnsi"/>
          <w:sz w:val="22"/>
          <w:szCs w:val="22"/>
        </w:rPr>
        <w:t>Zostały</w:t>
      </w:r>
      <w:r w:rsidR="00124DC9">
        <w:rPr>
          <w:rFonts w:cstheme="minorHAnsi"/>
          <w:sz w:val="22"/>
          <w:szCs w:val="22"/>
        </w:rPr>
        <w:t xml:space="preserve"> </w:t>
      </w:r>
      <w:r w:rsidR="00124DC9" w:rsidRPr="00573B8F">
        <w:rPr>
          <w:rFonts w:ascii="Calibri" w:hAnsi="Calibri" w:cs="Calibri"/>
          <w:sz w:val="22"/>
          <w:szCs w:val="22"/>
        </w:rPr>
        <w:t>stworzone warunki sprzyjające umiędzynarodowieniu kształcenia na kierunku, zgodnie z przyjętą koncepcją kształcenia, zapewniające studentom osiągniecie efektów uczenia się w zakresie znajomości języka obcego oraz uwzględnienie w programie studiów zajęć lub grup zajęć prowadzonych w języku obcym</w:t>
      </w:r>
      <w:r w:rsidR="00124DC9">
        <w:rPr>
          <w:rFonts w:ascii="Calibri" w:hAnsi="Calibri" w:cs="Calibri"/>
          <w:sz w:val="22"/>
          <w:szCs w:val="22"/>
        </w:rPr>
        <w:t>.</w:t>
      </w:r>
    </w:p>
    <w:p w14:paraId="478A3D13" w14:textId="77777777" w:rsidR="00124DC9" w:rsidRPr="00124DC9" w:rsidRDefault="00124DC9" w:rsidP="00124DC9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1B62A62E" w14:textId="77777777" w:rsidR="004B5466" w:rsidRDefault="004B5466" w:rsidP="00733E7A">
      <w:pPr>
        <w:spacing w:after="120" w:line="276" w:lineRule="auto"/>
        <w:jc w:val="both"/>
        <w:rPr>
          <w:rFonts w:cstheme="minorHAnsi"/>
          <w:b/>
          <w:bCs/>
          <w:sz w:val="22"/>
          <w:szCs w:val="22"/>
        </w:rPr>
      </w:pPr>
    </w:p>
    <w:p w14:paraId="0B8A912B" w14:textId="77777777" w:rsidR="004B5466" w:rsidRDefault="004B5466" w:rsidP="00733E7A">
      <w:pPr>
        <w:spacing w:after="120" w:line="276" w:lineRule="auto"/>
        <w:jc w:val="both"/>
        <w:rPr>
          <w:rFonts w:cstheme="minorHAnsi"/>
          <w:b/>
          <w:bCs/>
          <w:sz w:val="22"/>
          <w:szCs w:val="22"/>
        </w:rPr>
      </w:pPr>
    </w:p>
    <w:p w14:paraId="7050D79C" w14:textId="328DF8B2" w:rsidR="00733E7A" w:rsidRPr="00EC3A11" w:rsidRDefault="00733E7A" w:rsidP="00733E7A">
      <w:pPr>
        <w:spacing w:after="120" w:line="276" w:lineRule="auto"/>
        <w:jc w:val="both"/>
        <w:rPr>
          <w:rFonts w:cstheme="minorHAnsi"/>
          <w:b/>
          <w:bCs/>
          <w:sz w:val="22"/>
          <w:szCs w:val="22"/>
        </w:rPr>
      </w:pPr>
      <w:r w:rsidRPr="00EC3A11">
        <w:rPr>
          <w:rFonts w:cstheme="minorHAnsi"/>
          <w:b/>
          <w:bCs/>
          <w:sz w:val="22"/>
          <w:szCs w:val="22"/>
        </w:rPr>
        <w:t xml:space="preserve">Kryterium 8. Wsparcie studentów w uczeniu się, rozwoju społecznym, naukowym lub zawodowym i wejściu na rynek pracy oraz rozwój i doskonalenie form wsparcia </w:t>
      </w:r>
    </w:p>
    <w:p w14:paraId="2EBECC33" w14:textId="3FA82576" w:rsidR="00124DC9" w:rsidRDefault="00733E7A" w:rsidP="00124DC9">
      <w:pPr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EC3A11">
        <w:rPr>
          <w:rFonts w:cstheme="minorHAnsi"/>
          <w:sz w:val="22"/>
          <w:szCs w:val="22"/>
        </w:rPr>
        <w:t>Wsparcie</w:t>
      </w:r>
      <w:r w:rsidR="00124DC9">
        <w:rPr>
          <w:rFonts w:cstheme="minorHAnsi"/>
          <w:sz w:val="22"/>
          <w:szCs w:val="22"/>
        </w:rPr>
        <w:t xml:space="preserve"> </w:t>
      </w:r>
      <w:r w:rsidR="00124DC9" w:rsidRPr="00573B8F">
        <w:rPr>
          <w:rFonts w:ascii="Calibri" w:hAnsi="Calibri" w:cs="Calibri"/>
          <w:sz w:val="22"/>
          <w:szCs w:val="22"/>
        </w:rPr>
        <w:t xml:space="preserve">studentów w procesie uczenia się jest wszechstronne, przybiera różne formy, adekwatne do efektów uczenia się, uwzględnia zróżnicowane potrzeby studentów, sprzyja rozwojowi naukowemu, społecznemu i zawodowemu studentów poprzez zapewnienie dostępności nauczycieli akademickich, pomoc w procesie uczenia się i osiąganiu efektów uczenia się oraz </w:t>
      </w:r>
      <w:r w:rsidR="00124DC9">
        <w:rPr>
          <w:rFonts w:ascii="Calibri" w:hAnsi="Calibri" w:cs="Calibri"/>
          <w:sz w:val="22"/>
          <w:szCs w:val="22"/>
        </w:rPr>
        <w:br/>
      </w:r>
      <w:r w:rsidR="00124DC9" w:rsidRPr="00573B8F">
        <w:rPr>
          <w:rFonts w:ascii="Calibri" w:hAnsi="Calibri" w:cs="Calibri"/>
          <w:sz w:val="22"/>
          <w:szCs w:val="22"/>
        </w:rPr>
        <w:t>w przygotowaniu do prowadzenia działalności naukowej lub udziału w tej działalności</w:t>
      </w:r>
      <w:r w:rsidR="00124DC9">
        <w:rPr>
          <w:rFonts w:ascii="Calibri" w:hAnsi="Calibri" w:cs="Calibri"/>
          <w:sz w:val="22"/>
          <w:szCs w:val="22"/>
        </w:rPr>
        <w:t xml:space="preserve">. </w:t>
      </w:r>
      <w:r w:rsidR="00124DC9" w:rsidRPr="00573B8F">
        <w:rPr>
          <w:rFonts w:ascii="Calibri" w:hAnsi="Calibri" w:cs="Calibri"/>
          <w:sz w:val="22"/>
          <w:szCs w:val="22"/>
        </w:rPr>
        <w:t xml:space="preserve">Planowane działania na rzecz doskonalenia programu studiów oraz zapewnienia jakości kształcenia uwzględniają systematyczne przeglądy systemu wsparcia studentów w procesie uczenia się, </w:t>
      </w:r>
      <w:r w:rsidR="00124DC9">
        <w:rPr>
          <w:rFonts w:ascii="Calibri" w:hAnsi="Calibri" w:cs="Calibri"/>
          <w:sz w:val="22"/>
          <w:szCs w:val="22"/>
        </w:rPr>
        <w:br/>
      </w:r>
      <w:r w:rsidR="00124DC9" w:rsidRPr="00573B8F">
        <w:rPr>
          <w:rFonts w:ascii="Calibri" w:hAnsi="Calibri" w:cs="Calibri"/>
          <w:sz w:val="22"/>
          <w:szCs w:val="22"/>
        </w:rPr>
        <w:t>w których uczestniczą studenci, a wyniki tych przeglądów są wykorzystywane w działaniach doskonalących.</w:t>
      </w:r>
    </w:p>
    <w:p w14:paraId="30B1EC85" w14:textId="77777777" w:rsidR="00124DC9" w:rsidRPr="00124DC9" w:rsidRDefault="00124DC9" w:rsidP="00124DC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240A237" w14:textId="77777777" w:rsidR="00733E7A" w:rsidRPr="00EC3A11" w:rsidRDefault="00733E7A" w:rsidP="00733E7A">
      <w:pPr>
        <w:spacing w:after="120" w:line="276" w:lineRule="auto"/>
        <w:jc w:val="both"/>
        <w:rPr>
          <w:rFonts w:cstheme="minorHAnsi"/>
          <w:b/>
          <w:bCs/>
          <w:sz w:val="22"/>
          <w:szCs w:val="22"/>
        </w:rPr>
      </w:pPr>
      <w:r w:rsidRPr="00EC3A11">
        <w:rPr>
          <w:rFonts w:cstheme="minorHAnsi"/>
          <w:b/>
          <w:bCs/>
          <w:sz w:val="22"/>
          <w:szCs w:val="22"/>
        </w:rPr>
        <w:t xml:space="preserve">Kryterium 9. Publiczny dostęp do informacji o programie studiów, warunkach jego realizacji i osiąganych rezultatach </w:t>
      </w:r>
    </w:p>
    <w:p w14:paraId="449C024E" w14:textId="7BEF01B1" w:rsidR="00733E7A" w:rsidRPr="00EC3A11" w:rsidRDefault="00733E7A" w:rsidP="00733E7A">
      <w:p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EC3A11">
        <w:rPr>
          <w:rFonts w:cstheme="minorHAnsi"/>
          <w:sz w:val="22"/>
          <w:szCs w:val="22"/>
        </w:rPr>
        <w:t>Planowane</w:t>
      </w:r>
      <w:r w:rsidR="00124DC9">
        <w:rPr>
          <w:rFonts w:cstheme="minorHAnsi"/>
          <w:sz w:val="22"/>
          <w:szCs w:val="22"/>
        </w:rPr>
        <w:t xml:space="preserve"> </w:t>
      </w:r>
      <w:r w:rsidR="00124DC9" w:rsidRPr="00573B8F">
        <w:rPr>
          <w:rFonts w:ascii="Calibri" w:hAnsi="Calibri" w:cs="Calibri"/>
          <w:sz w:val="22"/>
          <w:szCs w:val="22"/>
        </w:rPr>
        <w:t>działania na rzecz doskonalenia programu studiów oraz zapewnienia jakości kształcenia uwzględniają zapewnienie publicznego dostępu do aktualnej, kompleksowej, zrozumiałej i zgodnej z potrzebami różnych grup odbiorców informacji o programie studiów i realizacji procesu nauczania i uczenia się na kierunku, systematyczne oceny publicznego dostępu do informacji, w których uczestniczą studenci i inni odbiorcy informacji oraz wykorzystywanie wyników ocen w działaniach doskonalących</w:t>
      </w:r>
      <w:r w:rsidR="00124DC9">
        <w:rPr>
          <w:rFonts w:ascii="Calibri" w:hAnsi="Calibri" w:cs="Calibri"/>
          <w:sz w:val="22"/>
          <w:szCs w:val="22"/>
        </w:rPr>
        <w:t>.</w:t>
      </w:r>
    </w:p>
    <w:p w14:paraId="30113A83" w14:textId="77777777" w:rsidR="00733E7A" w:rsidRPr="00EC3A11" w:rsidRDefault="00733E7A" w:rsidP="00733E7A">
      <w:pPr>
        <w:spacing w:line="276" w:lineRule="auto"/>
        <w:jc w:val="both"/>
        <w:rPr>
          <w:rFonts w:cstheme="minorHAnsi"/>
          <w:bCs/>
          <w:sz w:val="22"/>
          <w:szCs w:val="22"/>
        </w:rPr>
      </w:pPr>
    </w:p>
    <w:p w14:paraId="1FFE74B4" w14:textId="77777777" w:rsidR="00733E7A" w:rsidRPr="00EC3A11" w:rsidRDefault="00733E7A" w:rsidP="00733E7A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  <w:r w:rsidRPr="00EC3A11">
        <w:rPr>
          <w:rFonts w:cstheme="minorHAnsi"/>
          <w:b/>
          <w:bCs/>
          <w:sz w:val="22"/>
          <w:szCs w:val="22"/>
        </w:rPr>
        <w:t xml:space="preserve">Kryterium 10. Polityka jakości, projektowanie, zatwierdzanie, monitorowanie, przegląd i doskonalenie programu studiów </w:t>
      </w:r>
    </w:p>
    <w:p w14:paraId="4A1C8A25" w14:textId="2F0B597E" w:rsidR="00124DC9" w:rsidRPr="00573B8F" w:rsidRDefault="00733E7A" w:rsidP="00124DC9">
      <w:pPr>
        <w:spacing w:before="24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EC3A11">
        <w:rPr>
          <w:rFonts w:cstheme="minorHAnsi"/>
          <w:sz w:val="22"/>
          <w:szCs w:val="22"/>
        </w:rPr>
        <w:t>Planowane</w:t>
      </w:r>
      <w:r w:rsidR="00124DC9">
        <w:rPr>
          <w:rFonts w:cstheme="minorHAnsi"/>
          <w:sz w:val="22"/>
          <w:szCs w:val="22"/>
        </w:rPr>
        <w:t xml:space="preserve"> </w:t>
      </w:r>
      <w:r w:rsidR="00124DC9" w:rsidRPr="00573B8F">
        <w:rPr>
          <w:rFonts w:ascii="Calibri" w:hAnsi="Calibri" w:cs="Calibri"/>
          <w:sz w:val="22"/>
          <w:szCs w:val="22"/>
        </w:rPr>
        <w:t>działania na rzecz doskonalenia programu studiów uwzględniają zarządzanie procesem kształcenia na kierunku oraz podział odpowiedzialności w zakresie zapewnienia i doskonalenia jakości, zasady projektowania, zatwierdzania i zmiany programu studiów oraz systematyczne oceny programu studiów, oparte o wyniki analizy wiarygodnych danych i informacji, z udziałem interesariuszy wewnętrznych, w tym studentów oraz zewnętrznych, mające na celu doskonalenie jakości kształcenia</w:t>
      </w:r>
      <w:r w:rsidR="00124DC9">
        <w:rPr>
          <w:rFonts w:ascii="Calibri" w:hAnsi="Calibri" w:cs="Calibri"/>
          <w:sz w:val="22"/>
          <w:szCs w:val="22"/>
        </w:rPr>
        <w:t xml:space="preserve">. </w:t>
      </w:r>
      <w:r w:rsidR="00124DC9" w:rsidRPr="00573B8F">
        <w:rPr>
          <w:rFonts w:ascii="Calibri" w:hAnsi="Calibri" w:cs="Calibri"/>
          <w:sz w:val="22"/>
          <w:szCs w:val="22"/>
        </w:rPr>
        <w:t>Planowane działania na rzecz doskonalenia programu studiów oraz zapewnienia jakości kształcenia uwzględniają cykliczne zewnętrzne oceny jakości kształcenia, których wyniki są publicznie dostępne i wykorzystywane w doskonaleniu jakości</w:t>
      </w:r>
    </w:p>
    <w:p w14:paraId="00E0C61A" w14:textId="77777777" w:rsidR="00124DC9" w:rsidRPr="00EC3A11" w:rsidRDefault="00124DC9" w:rsidP="00733E7A">
      <w:pPr>
        <w:spacing w:before="240" w:after="120" w:line="276" w:lineRule="auto"/>
        <w:jc w:val="both"/>
        <w:rPr>
          <w:rFonts w:cstheme="minorHAnsi"/>
          <w:sz w:val="22"/>
          <w:szCs w:val="22"/>
        </w:rPr>
      </w:pPr>
    </w:p>
    <w:p w14:paraId="7A79A7D9" w14:textId="77777777" w:rsidR="00733E7A" w:rsidRPr="00EC3A11" w:rsidRDefault="00733E7A" w:rsidP="00733E7A">
      <w:pPr>
        <w:spacing w:after="160" w:line="259" w:lineRule="auto"/>
        <w:rPr>
          <w:rFonts w:cstheme="minorHAnsi"/>
          <w:sz w:val="22"/>
        </w:rPr>
      </w:pPr>
    </w:p>
    <w:bookmarkEnd w:id="0"/>
    <w:p w14:paraId="15DE320D" w14:textId="77777777" w:rsidR="00CB3F03" w:rsidRPr="00EC3A11" w:rsidRDefault="00CB3F03" w:rsidP="00130B55">
      <w:pPr>
        <w:pStyle w:val="PKA-tekstcigy"/>
        <w:ind w:left="0"/>
      </w:pPr>
    </w:p>
    <w:sectPr w:rsidR="00CB3F03" w:rsidRPr="00EC3A11" w:rsidSect="002F6B95">
      <w:pgSz w:w="11900" w:h="16840"/>
      <w:pgMar w:top="955" w:right="1694" w:bottom="1476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87459" w14:textId="77777777" w:rsidR="001B11F4" w:rsidRDefault="001B11F4" w:rsidP="00EF7C77">
      <w:r>
        <w:separator/>
      </w:r>
    </w:p>
  </w:endnote>
  <w:endnote w:type="continuationSeparator" w:id="0">
    <w:p w14:paraId="3DCC2180" w14:textId="77777777" w:rsidR="001B11F4" w:rsidRDefault="001B11F4" w:rsidP="00EF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FA5FD" w14:textId="77777777" w:rsidR="001B11F4" w:rsidRDefault="001B11F4" w:rsidP="00EF7C77">
      <w:r>
        <w:separator/>
      </w:r>
    </w:p>
  </w:footnote>
  <w:footnote w:type="continuationSeparator" w:id="0">
    <w:p w14:paraId="6766FEBB" w14:textId="77777777" w:rsidR="001B11F4" w:rsidRDefault="001B11F4" w:rsidP="00EF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74D55"/>
    <w:multiLevelType w:val="hybridMultilevel"/>
    <w:tmpl w:val="1C9AA5C6"/>
    <w:lvl w:ilvl="0" w:tplc="CC848B1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E302251"/>
    <w:multiLevelType w:val="hybridMultilevel"/>
    <w:tmpl w:val="7F36B8F4"/>
    <w:lvl w:ilvl="0" w:tplc="CC848B1E">
      <w:start w:val="1"/>
      <w:numFmt w:val="decimal"/>
      <w:lvlText w:val="%1."/>
      <w:lvlJc w:val="left"/>
      <w:pPr>
        <w:ind w:left="2118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545507A"/>
    <w:multiLevelType w:val="hybridMultilevel"/>
    <w:tmpl w:val="4C12D18C"/>
    <w:lvl w:ilvl="0" w:tplc="C9B26DB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8391524"/>
    <w:multiLevelType w:val="hybridMultilevel"/>
    <w:tmpl w:val="E318915A"/>
    <w:lvl w:ilvl="0" w:tplc="9E9A122E">
      <w:start w:val="1"/>
      <w:numFmt w:val="decimal"/>
      <w:lvlText w:val="%1."/>
      <w:lvlJc w:val="left"/>
      <w:pPr>
        <w:ind w:left="2118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43027529"/>
    <w:multiLevelType w:val="hybridMultilevel"/>
    <w:tmpl w:val="E77E5128"/>
    <w:lvl w:ilvl="0" w:tplc="CC848B1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50F04E27"/>
    <w:multiLevelType w:val="hybridMultilevel"/>
    <w:tmpl w:val="E702D2D2"/>
    <w:lvl w:ilvl="0" w:tplc="265E6B32">
      <w:start w:val="1"/>
      <w:numFmt w:val="decimal"/>
      <w:lvlText w:val="%1."/>
      <w:lvlJc w:val="left"/>
      <w:pPr>
        <w:ind w:left="2118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62D67F44"/>
    <w:multiLevelType w:val="hybridMultilevel"/>
    <w:tmpl w:val="3AEA7FE0"/>
    <w:lvl w:ilvl="0" w:tplc="610808E2">
      <w:start w:val="1"/>
      <w:numFmt w:val="decimal"/>
      <w:lvlText w:val="%1."/>
      <w:lvlJc w:val="left"/>
      <w:pPr>
        <w:ind w:left="1780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476C07"/>
    <w:multiLevelType w:val="hybridMultilevel"/>
    <w:tmpl w:val="2D2E9596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77"/>
    <w:rsid w:val="000166D1"/>
    <w:rsid w:val="000519FE"/>
    <w:rsid w:val="00065FA0"/>
    <w:rsid w:val="00083C2C"/>
    <w:rsid w:val="000A3C72"/>
    <w:rsid w:val="000C666C"/>
    <w:rsid w:val="000C6F27"/>
    <w:rsid w:val="000D1D56"/>
    <w:rsid w:val="000D7277"/>
    <w:rsid w:val="000E5D2E"/>
    <w:rsid w:val="00102AAD"/>
    <w:rsid w:val="00104076"/>
    <w:rsid w:val="001104C3"/>
    <w:rsid w:val="00111D1D"/>
    <w:rsid w:val="00124DC9"/>
    <w:rsid w:val="00130B55"/>
    <w:rsid w:val="00150DB4"/>
    <w:rsid w:val="00165580"/>
    <w:rsid w:val="0018081C"/>
    <w:rsid w:val="001B11F4"/>
    <w:rsid w:val="001D1312"/>
    <w:rsid w:val="001D322C"/>
    <w:rsid w:val="002105BE"/>
    <w:rsid w:val="00237C25"/>
    <w:rsid w:val="002558B2"/>
    <w:rsid w:val="00256815"/>
    <w:rsid w:val="002743F3"/>
    <w:rsid w:val="00275161"/>
    <w:rsid w:val="002958FE"/>
    <w:rsid w:val="00297D9F"/>
    <w:rsid w:val="002E6DC7"/>
    <w:rsid w:val="002F6B95"/>
    <w:rsid w:val="00342E8A"/>
    <w:rsid w:val="00347943"/>
    <w:rsid w:val="00387327"/>
    <w:rsid w:val="003A37EB"/>
    <w:rsid w:val="003B4BE6"/>
    <w:rsid w:val="003E7541"/>
    <w:rsid w:val="0040014B"/>
    <w:rsid w:val="004B0DC1"/>
    <w:rsid w:val="004B5466"/>
    <w:rsid w:val="004C14BF"/>
    <w:rsid w:val="004C29BF"/>
    <w:rsid w:val="00500806"/>
    <w:rsid w:val="00550095"/>
    <w:rsid w:val="00551FEF"/>
    <w:rsid w:val="005769F8"/>
    <w:rsid w:val="005A3871"/>
    <w:rsid w:val="00634728"/>
    <w:rsid w:val="006A20B2"/>
    <w:rsid w:val="006C23D3"/>
    <w:rsid w:val="006E6BDE"/>
    <w:rsid w:val="006F2AB8"/>
    <w:rsid w:val="00733E7A"/>
    <w:rsid w:val="00734DD0"/>
    <w:rsid w:val="007469A9"/>
    <w:rsid w:val="00777550"/>
    <w:rsid w:val="007932D7"/>
    <w:rsid w:val="007C05D6"/>
    <w:rsid w:val="007D5E1B"/>
    <w:rsid w:val="007F4B23"/>
    <w:rsid w:val="008228B2"/>
    <w:rsid w:val="00843B60"/>
    <w:rsid w:val="008A1F00"/>
    <w:rsid w:val="008D0B9F"/>
    <w:rsid w:val="008D2FBB"/>
    <w:rsid w:val="008D62BB"/>
    <w:rsid w:val="0090194D"/>
    <w:rsid w:val="00921765"/>
    <w:rsid w:val="009341ED"/>
    <w:rsid w:val="00984174"/>
    <w:rsid w:val="009B3551"/>
    <w:rsid w:val="009B5E97"/>
    <w:rsid w:val="009C754B"/>
    <w:rsid w:val="00A03B42"/>
    <w:rsid w:val="00A2776A"/>
    <w:rsid w:val="00A41360"/>
    <w:rsid w:val="00A52EB6"/>
    <w:rsid w:val="00A53D42"/>
    <w:rsid w:val="00A6150C"/>
    <w:rsid w:val="00A67EC4"/>
    <w:rsid w:val="00A84345"/>
    <w:rsid w:val="00A86188"/>
    <w:rsid w:val="00AB3A15"/>
    <w:rsid w:val="00AB430A"/>
    <w:rsid w:val="00AD6ADA"/>
    <w:rsid w:val="00AE0551"/>
    <w:rsid w:val="00B0224D"/>
    <w:rsid w:val="00B44401"/>
    <w:rsid w:val="00B45469"/>
    <w:rsid w:val="00BA7517"/>
    <w:rsid w:val="00BB2C1E"/>
    <w:rsid w:val="00BB459A"/>
    <w:rsid w:val="00BB5448"/>
    <w:rsid w:val="00BC2A89"/>
    <w:rsid w:val="00BF6AF0"/>
    <w:rsid w:val="00C020A3"/>
    <w:rsid w:val="00C02941"/>
    <w:rsid w:val="00C11D7C"/>
    <w:rsid w:val="00C82561"/>
    <w:rsid w:val="00CB3F03"/>
    <w:rsid w:val="00CC0522"/>
    <w:rsid w:val="00CE6D83"/>
    <w:rsid w:val="00CF7BEF"/>
    <w:rsid w:val="00D0055A"/>
    <w:rsid w:val="00D0411D"/>
    <w:rsid w:val="00D14897"/>
    <w:rsid w:val="00D16BDE"/>
    <w:rsid w:val="00D359FC"/>
    <w:rsid w:val="00D54632"/>
    <w:rsid w:val="00D72183"/>
    <w:rsid w:val="00D82F5B"/>
    <w:rsid w:val="00DA2844"/>
    <w:rsid w:val="00DB02C2"/>
    <w:rsid w:val="00DC0D8A"/>
    <w:rsid w:val="00DC6A5A"/>
    <w:rsid w:val="00DD4042"/>
    <w:rsid w:val="00DE2EAE"/>
    <w:rsid w:val="00E05271"/>
    <w:rsid w:val="00E15BB8"/>
    <w:rsid w:val="00E95C99"/>
    <w:rsid w:val="00EA6237"/>
    <w:rsid w:val="00EA634F"/>
    <w:rsid w:val="00EC112B"/>
    <w:rsid w:val="00EC3A11"/>
    <w:rsid w:val="00EF6C6C"/>
    <w:rsid w:val="00EF7C77"/>
    <w:rsid w:val="00FA1A88"/>
    <w:rsid w:val="00FD285B"/>
    <w:rsid w:val="00FD342D"/>
    <w:rsid w:val="00FD7D3D"/>
    <w:rsid w:val="546D9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70B2B"/>
  <w15:chartTrackingRefBased/>
  <w15:docId w15:val="{8136C5E7-A3AB-D84A-911E-E7BE8318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33E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aliases w:val="Nagłówek PKA"/>
    <w:basedOn w:val="Normalny"/>
    <w:next w:val="Normalny"/>
    <w:link w:val="Nagwek4Znak"/>
    <w:qFormat/>
    <w:rsid w:val="00BB459A"/>
    <w:pPr>
      <w:keepNext/>
      <w:spacing w:before="120" w:after="120"/>
      <w:jc w:val="center"/>
      <w:outlineLvl w:val="3"/>
    </w:pPr>
    <w:rPr>
      <w:rFonts w:ascii="Calibri" w:eastAsia="Times New Roman" w:hAnsi="Calibri" w:cs="Times New Roman"/>
      <w:b/>
      <w:bCs/>
      <w:iCs/>
      <w:szCs w:val="28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A-tekstcigy">
    <w:name w:val="PKA- tekst ciągły"/>
    <w:autoRedefine/>
    <w:qFormat/>
    <w:rsid w:val="004C29BF"/>
    <w:pPr>
      <w:tabs>
        <w:tab w:val="decimal" w:pos="1418"/>
      </w:tabs>
      <w:spacing w:before="40" w:line="276" w:lineRule="auto"/>
      <w:ind w:left="1418"/>
      <w:jc w:val="both"/>
    </w:pPr>
    <w:rPr>
      <w:rFonts w:ascii="Calibri" w:eastAsia="Times New Roman" w:hAnsi="Calibri" w:cs="Arial"/>
      <w:sz w:val="2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7C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7C77"/>
  </w:style>
  <w:style w:type="paragraph" w:styleId="Stopka">
    <w:name w:val="footer"/>
    <w:basedOn w:val="Normalny"/>
    <w:link w:val="StopkaZnak"/>
    <w:uiPriority w:val="99"/>
    <w:unhideWhenUsed/>
    <w:rsid w:val="00EF7C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7C77"/>
  </w:style>
  <w:style w:type="paragraph" w:styleId="Tekstdymka">
    <w:name w:val="Balloon Text"/>
    <w:basedOn w:val="Normalny"/>
    <w:link w:val="TekstdymkaZnak"/>
    <w:uiPriority w:val="99"/>
    <w:semiHidden/>
    <w:unhideWhenUsed/>
    <w:rsid w:val="00EF7C77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77"/>
    <w:rPr>
      <w:rFonts w:ascii="Times New Roman" w:hAnsi="Times New Roman" w:cs="Times New Roman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67E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67EC4"/>
    <w:rPr>
      <w:color w:val="0000FF"/>
      <w:u w:val="single"/>
    </w:rPr>
  </w:style>
  <w:style w:type="character" w:customStyle="1" w:styleId="Nagwek4Znak">
    <w:name w:val="Nagłówek 4 Znak"/>
    <w:aliases w:val="Nagłówek PKA Znak"/>
    <w:basedOn w:val="Domylnaczcionkaakapitu"/>
    <w:link w:val="Nagwek4"/>
    <w:rsid w:val="00BB459A"/>
    <w:rPr>
      <w:rFonts w:ascii="Calibri" w:eastAsia="Times New Roman" w:hAnsi="Calibri" w:cs="Times New Roman"/>
      <w:b/>
      <w:bCs/>
      <w:iCs/>
      <w:szCs w:val="28"/>
      <w:lang w:val="en-US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7E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7E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D16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B3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5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5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3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355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37C25"/>
  </w:style>
  <w:style w:type="paragraph" w:styleId="Akapitzlist">
    <w:name w:val="List Paragraph"/>
    <w:basedOn w:val="Normalny"/>
    <w:uiPriority w:val="34"/>
    <w:qFormat/>
    <w:rsid w:val="00102AA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33E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1"/>
    <w:qFormat/>
    <w:rsid w:val="00733E7A"/>
    <w:pPr>
      <w:widowControl w:val="0"/>
      <w:spacing w:before="120"/>
      <w:ind w:left="560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33E7A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PKA-STRONA1">
    <w:name w:val="PKA- STRONA 1"/>
    <w:basedOn w:val="Normalny"/>
    <w:qFormat/>
    <w:rsid w:val="00733E7A"/>
    <w:pPr>
      <w:ind w:left="2268"/>
      <w:jc w:val="both"/>
    </w:pPr>
    <w:rPr>
      <w:rFonts w:ascii="Calibri" w:eastAsia="Times New Roman" w:hAnsi="Calibri" w:cs="Arial"/>
      <w:b/>
      <w:bCs/>
      <w:color w:val="243C80"/>
      <w:sz w:val="52"/>
      <w:szCs w:val="5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33E7A"/>
    <w:pPr>
      <w:contextualSpacing/>
      <w:jc w:val="both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33E7A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pl-PL"/>
    </w:rPr>
  </w:style>
  <w:style w:type="paragraph" w:customStyle="1" w:styleId="pka-1-stronq">
    <w:name w:val="pka-1-stronq"/>
    <w:basedOn w:val="Normalny"/>
    <w:rsid w:val="00733E7A"/>
    <w:pPr>
      <w:tabs>
        <w:tab w:val="left" w:pos="0"/>
        <w:tab w:val="left" w:pos="2268"/>
      </w:tabs>
      <w:spacing w:before="40" w:line="276" w:lineRule="auto"/>
      <w:ind w:left="2268"/>
    </w:pPr>
    <w:rPr>
      <w:rFonts w:ascii="Calibri" w:eastAsia="Times New Roman" w:hAnsi="Calibri" w:cs="Arial"/>
      <w:sz w:val="22"/>
      <w:szCs w:val="20"/>
      <w:lang w:eastAsia="pl-PL"/>
    </w:rPr>
  </w:style>
  <w:style w:type="paragraph" w:customStyle="1" w:styleId="paragraph">
    <w:name w:val="paragraph"/>
    <w:basedOn w:val="Normalny"/>
    <w:rsid w:val="00FD7D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FD7D3D"/>
  </w:style>
  <w:style w:type="character" w:customStyle="1" w:styleId="eop">
    <w:name w:val="eop"/>
    <w:basedOn w:val="Domylnaczcionkaakapitu"/>
    <w:rsid w:val="00FD7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9B2CF92734A4BAE2A331B652B4E4E" ma:contentTypeVersion="4" ma:contentTypeDescription="Utwórz nowy dokument." ma:contentTypeScope="" ma:versionID="325fd62d1a0c4ecbfcfc397772a855ac">
  <xsd:schema xmlns:xsd="http://www.w3.org/2001/XMLSchema" xmlns:xs="http://www.w3.org/2001/XMLSchema" xmlns:p="http://schemas.microsoft.com/office/2006/metadata/properties" xmlns:ns2="81aa00a4-7317-4c43-8f66-fdca76d595cc" xmlns:ns3="8a354655-d29f-4984-95b3-795111d04857" targetNamespace="http://schemas.microsoft.com/office/2006/metadata/properties" ma:root="true" ma:fieldsID="2076e8864bd0df72247dc7c97c7ce3e0" ns2:_="" ns3:_="">
    <xsd:import namespace="81aa00a4-7317-4c43-8f66-fdca76d595cc"/>
    <xsd:import namespace="8a354655-d29f-4984-95b3-795111d048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a00a4-7317-4c43-8f66-fdca76d59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4655-d29f-4984-95b3-795111d048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C8BFC0-9023-4B76-A758-EE8D37186B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38AE40-6953-4362-82A6-56EDF99648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065178-BE58-47B1-8CB4-5BC20C38F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a00a4-7317-4c43-8f66-fdca76d595cc"/>
    <ds:schemaRef ds:uri="8a354655-d29f-4984-95b3-795111d048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1E33CA-C82C-4DB2-8FFE-943552A5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1843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Jura</dc:creator>
  <cp:keywords/>
  <dc:description/>
  <cp:lastModifiedBy>Grzegorz Kołodziej</cp:lastModifiedBy>
  <cp:revision>9</cp:revision>
  <cp:lastPrinted>2019-09-10T14:29:00Z</cp:lastPrinted>
  <dcterms:created xsi:type="dcterms:W3CDTF">2019-09-16T19:56:00Z</dcterms:created>
  <dcterms:modified xsi:type="dcterms:W3CDTF">2021-04-13T07:55:00Z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0x01010098A9B2CF92734A4BAE2A331B652B4E4E</vt:lpwstr>
  </property>
</Properties>
</file>