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64A7" w14:textId="77777777" w:rsidR="00500278" w:rsidRDefault="00500278" w:rsidP="00500278">
      <w:pPr>
        <w:pStyle w:val="Tytu"/>
        <w:jc w:val="center"/>
      </w:pPr>
      <w:r w:rsidRPr="00C5174D">
        <w:t xml:space="preserve">Polska Komisja Akredytacyjna </w:t>
      </w:r>
    </w:p>
    <w:p w14:paraId="41724B49" w14:textId="3A924A05" w:rsidR="00500278" w:rsidRPr="00C5174D" w:rsidRDefault="00500278" w:rsidP="00500278">
      <w:pPr>
        <w:pStyle w:val="Tytu"/>
        <w:jc w:val="center"/>
      </w:pPr>
      <w:r w:rsidRPr="00C5174D">
        <w:t>w świetle badań ankietowych</w:t>
      </w:r>
      <w:r>
        <w:br/>
        <w:t>IV kwartał 20</w:t>
      </w:r>
      <w:r w:rsidR="00CA173D">
        <w:t>20</w:t>
      </w:r>
      <w:r>
        <w:t xml:space="preserve"> r.</w:t>
      </w:r>
    </w:p>
    <w:p w14:paraId="58BF0995" w14:textId="77777777" w:rsidR="00500278" w:rsidRPr="0015619C" w:rsidRDefault="00500278" w:rsidP="00500278">
      <w:pPr>
        <w:jc w:val="both"/>
      </w:pPr>
      <w:r w:rsidRPr="0015619C">
        <w:t>Ocena prac zespołów oceniających Polskiej Komisji Akredytacyjnej, a także ocena przyjętych przez Polską Komisję Akredytacyjną procedur, realizowana jest m. in. poprzez badania ankietowe przeprowadzane po wizycie zespołu oceniającego w danej uczelni.</w:t>
      </w:r>
      <w:r w:rsidR="00F74381" w:rsidRPr="0015619C">
        <w:t xml:space="preserve"> Jest to jeden z fundamentów systemu zapewniania jakości wdrożonego przez PKA w 2013 r.</w:t>
      </w:r>
    </w:p>
    <w:p w14:paraId="33DF7FB5" w14:textId="538CED03" w:rsidR="00500278" w:rsidRPr="0015619C" w:rsidRDefault="00F74381" w:rsidP="00500278">
      <w:pPr>
        <w:jc w:val="both"/>
      </w:pPr>
      <w:r w:rsidRPr="0015619C">
        <w:t>W IV kwartale</w:t>
      </w:r>
      <w:r w:rsidR="00500278" w:rsidRPr="0015619C">
        <w:t xml:space="preserve"> 20</w:t>
      </w:r>
      <w:r w:rsidR="00CA173D">
        <w:t>20</w:t>
      </w:r>
      <w:r w:rsidR="00500278" w:rsidRPr="0015619C">
        <w:t xml:space="preserve"> r. do Biura Polskiej Ko</w:t>
      </w:r>
      <w:r w:rsidRPr="0015619C">
        <w:t>misji Akredytacyjnej wpłynęło</w:t>
      </w:r>
      <w:r w:rsidR="000D31CE" w:rsidRPr="0015619C">
        <w:t xml:space="preserve"> </w:t>
      </w:r>
      <w:r w:rsidR="00CA173D">
        <w:t>9</w:t>
      </w:r>
      <w:r w:rsidR="00500278" w:rsidRPr="0015619C">
        <w:t xml:space="preserve"> wypełnionych kwestionariuszy. </w:t>
      </w:r>
    </w:p>
    <w:p w14:paraId="20330FC8" w14:textId="3C881859" w:rsidR="00500278" w:rsidRDefault="00CA173D" w:rsidP="00F74381">
      <w:pPr>
        <w:jc w:val="center"/>
      </w:pPr>
      <w:r>
        <w:rPr>
          <w:noProof/>
        </w:rPr>
        <w:drawing>
          <wp:inline distT="0" distB="0" distL="0" distR="0" wp14:anchorId="7891616D" wp14:editId="01D3FC70">
            <wp:extent cx="4572000" cy="27432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BBF969" w14:textId="1563410A" w:rsidR="00516E8B" w:rsidRPr="0015619C" w:rsidRDefault="006241AA" w:rsidP="004B1710">
      <w:pPr>
        <w:jc w:val="both"/>
      </w:pPr>
      <w:r>
        <w:t>L</w:t>
      </w:r>
      <w:r w:rsidR="00516E8B">
        <w:t>iczba wypełnionych ankiet</w:t>
      </w:r>
      <w:r w:rsidR="004B1710">
        <w:t xml:space="preserve"> nie stanowi zadowalającej statycznie próby</w:t>
      </w:r>
      <w:r>
        <w:t>.</w:t>
      </w:r>
    </w:p>
    <w:p w14:paraId="7E717CE9" w14:textId="72352AEE" w:rsidR="00500278" w:rsidRPr="0015619C" w:rsidRDefault="006241AA" w:rsidP="00E479BA">
      <w:pPr>
        <w:jc w:val="center"/>
      </w:pPr>
      <w:r>
        <w:rPr>
          <w:noProof/>
        </w:rPr>
        <w:lastRenderedPageBreak/>
        <w:drawing>
          <wp:inline distT="0" distB="0" distL="0" distR="0" wp14:anchorId="7D5390B5" wp14:editId="7F2CBBFF">
            <wp:extent cx="4572000" cy="29337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1802C4" w14:textId="427A13A5" w:rsidR="00680DEA" w:rsidRPr="0015619C" w:rsidRDefault="004B1710" w:rsidP="00500278">
      <w:pPr>
        <w:jc w:val="both"/>
      </w:pPr>
      <w:r>
        <w:t>A</w:t>
      </w:r>
      <w:r w:rsidR="00E479BA" w:rsidRPr="0015619C">
        <w:t>naliza trendu zwrotności</w:t>
      </w:r>
      <w:r>
        <w:t xml:space="preserve"> ankiet</w:t>
      </w:r>
      <w:r w:rsidR="00E479BA" w:rsidRPr="0015619C">
        <w:t xml:space="preserve"> w latach 201</w:t>
      </w:r>
      <w:r w:rsidR="006241AA">
        <w:t>7</w:t>
      </w:r>
      <w:r w:rsidR="00E479BA" w:rsidRPr="0015619C">
        <w:t xml:space="preserve"> – 20</w:t>
      </w:r>
      <w:r w:rsidR="006241AA">
        <w:t>20, po wzroście odnotowanym w 2019 r. niestety</w:t>
      </w:r>
      <w:r w:rsidR="00E479BA" w:rsidRPr="0015619C">
        <w:t xml:space="preserve"> wskazuje na </w:t>
      </w:r>
      <w:r w:rsidR="006241AA">
        <w:t>spadek</w:t>
      </w:r>
      <w:r>
        <w:t xml:space="preserve"> zainteresowania respondentów kierowaną do nich ankietą.</w:t>
      </w:r>
      <w:r w:rsidR="006241AA">
        <w:t xml:space="preserve"> Należy jednak zaznaczyć, iż </w:t>
      </w:r>
      <w:r w:rsidR="00680DEA">
        <w:t xml:space="preserve">w związku z </w:t>
      </w:r>
      <w:r w:rsidR="00680DEA" w:rsidRPr="00CD7050">
        <w:t>ograniczeni</w:t>
      </w:r>
      <w:r w:rsidR="00680DEA">
        <w:t>em</w:t>
      </w:r>
      <w:r w:rsidR="00680DEA" w:rsidRPr="00CD7050">
        <w:t xml:space="preserve"> funkcjonowania uczelni </w:t>
      </w:r>
      <w:r w:rsidR="00680DEA">
        <w:t xml:space="preserve">wynikającym z rozprzestrzeniana się </w:t>
      </w:r>
      <w:proofErr w:type="spellStart"/>
      <w:r w:rsidR="00680DEA">
        <w:t>Koronawirusa</w:t>
      </w:r>
      <w:proofErr w:type="spellEnd"/>
      <w:r w:rsidR="00680DEA">
        <w:t xml:space="preserve"> SARS-Cov-2 Polska Komisja Akredytacyjna zawiesiła po</w:t>
      </w:r>
      <w:r w:rsidR="00680DEA" w:rsidRPr="000059A0">
        <w:t>stępowania w</w:t>
      </w:r>
      <w:r w:rsidR="00680DEA">
        <w:t> </w:t>
      </w:r>
      <w:r w:rsidR="00680DEA" w:rsidRPr="000059A0">
        <w:t>sprawie ocen programow</w:t>
      </w:r>
      <w:r w:rsidR="00680DEA">
        <w:t xml:space="preserve">ych w okresie marzec-wrzesień. W konsekwencji liczba ocen programowych zrealizowanych w 2020 r. był niższa od ubiegłych lat. </w:t>
      </w:r>
    </w:p>
    <w:p w14:paraId="2C1FF2C5" w14:textId="48813CCB" w:rsidR="00E479BA" w:rsidRPr="0015619C" w:rsidRDefault="006241AA" w:rsidP="00F74381">
      <w:pPr>
        <w:jc w:val="center"/>
      </w:pPr>
      <w:r>
        <w:rPr>
          <w:noProof/>
        </w:rPr>
        <w:drawing>
          <wp:inline distT="0" distB="0" distL="0" distR="0" wp14:anchorId="191D60E4" wp14:editId="7CFE72A6">
            <wp:extent cx="4572000" cy="29337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B13C97" w14:textId="77777777" w:rsidR="00500278" w:rsidRPr="0015619C" w:rsidRDefault="0027174C" w:rsidP="00FA526A">
      <w:pPr>
        <w:tabs>
          <w:tab w:val="left" w:pos="1665"/>
        </w:tabs>
        <w:jc w:val="both"/>
      </w:pPr>
      <w:r w:rsidRPr="0015619C">
        <w:t>Polska Komisja Akredytacyjna w dalszym ciągu wykorzystuje zestaw pytań opracowany w 2008 r. Zestaw ten obejmuje</w:t>
      </w:r>
      <w:r w:rsidR="00CF2727" w:rsidRPr="0015619C">
        <w:t xml:space="preserve"> następujące pytania</w:t>
      </w:r>
      <w:r w:rsidRPr="0015619C">
        <w:t>:</w:t>
      </w:r>
    </w:p>
    <w:p w14:paraId="0A6E6292" w14:textId="77777777" w:rsidR="00500278" w:rsidRPr="0015619C" w:rsidRDefault="00500278" w:rsidP="00500278">
      <w:pPr>
        <w:pStyle w:val="Akapitzlist"/>
        <w:numPr>
          <w:ilvl w:val="0"/>
          <w:numId w:val="5"/>
        </w:numPr>
        <w:spacing w:after="160" w:line="300" w:lineRule="auto"/>
        <w:jc w:val="both"/>
        <w:rPr>
          <w:i/>
        </w:rPr>
      </w:pPr>
      <w:r w:rsidRPr="0015619C">
        <w:rPr>
          <w:i/>
        </w:rPr>
        <w:t>Czy Biuro PKA przysłało Państwu informację o planowanej wizytacji wystarczająco wcześnie, aby można się było do niej dobrze przygotować?</w:t>
      </w:r>
    </w:p>
    <w:p w14:paraId="47C83C3A" w14:textId="77777777" w:rsidR="00500278" w:rsidRPr="0015619C" w:rsidRDefault="00500278" w:rsidP="00500278">
      <w:pPr>
        <w:pStyle w:val="Akapitzlist"/>
        <w:numPr>
          <w:ilvl w:val="0"/>
          <w:numId w:val="5"/>
        </w:numPr>
        <w:spacing w:after="160" w:line="300" w:lineRule="auto"/>
        <w:jc w:val="both"/>
        <w:rPr>
          <w:i/>
        </w:rPr>
      </w:pPr>
      <w:r w:rsidRPr="0015619C">
        <w:rPr>
          <w:i/>
        </w:rPr>
        <w:t>Czy Państwa zdaniem członkowie zespołu wnikliwie zapoznali się przed wizytacją z Raportem Samooceny? Jeśli odpowiedź jest negatywna prosimy o krótkie uzasadnienie.</w:t>
      </w:r>
    </w:p>
    <w:p w14:paraId="67BB57F5" w14:textId="77777777" w:rsidR="00500278" w:rsidRPr="0015619C" w:rsidRDefault="00500278" w:rsidP="00500278">
      <w:pPr>
        <w:pStyle w:val="Akapitzlist"/>
        <w:numPr>
          <w:ilvl w:val="0"/>
          <w:numId w:val="5"/>
        </w:numPr>
        <w:spacing w:after="160" w:line="300" w:lineRule="auto"/>
        <w:jc w:val="both"/>
        <w:rPr>
          <w:i/>
        </w:rPr>
      </w:pPr>
      <w:r w:rsidRPr="0015619C">
        <w:rPr>
          <w:i/>
        </w:rPr>
        <w:lastRenderedPageBreak/>
        <w:t>Czy zakres przedmiotowy wizytacji pozwolił na sprawną i rzetelną ocenę jakości kształcenia?</w:t>
      </w:r>
    </w:p>
    <w:p w14:paraId="192A3882" w14:textId="77777777" w:rsidR="00500278" w:rsidRPr="0015619C" w:rsidRDefault="00500278" w:rsidP="00500278">
      <w:pPr>
        <w:pStyle w:val="Akapitzlist"/>
        <w:numPr>
          <w:ilvl w:val="0"/>
          <w:numId w:val="5"/>
        </w:numPr>
        <w:spacing w:after="160" w:line="300" w:lineRule="auto"/>
        <w:jc w:val="both"/>
        <w:rPr>
          <w:i/>
        </w:rPr>
      </w:pPr>
      <w:r w:rsidRPr="0015619C">
        <w:rPr>
          <w:i/>
        </w:rPr>
        <w:t>Czy czas trwania wizytacji pozwolił na sprawną i rzetelną ocenę jakości kształcenia?</w:t>
      </w:r>
    </w:p>
    <w:p w14:paraId="03C6994A" w14:textId="77777777" w:rsidR="00500278" w:rsidRPr="0015619C" w:rsidRDefault="00500278" w:rsidP="00500278">
      <w:pPr>
        <w:pStyle w:val="Akapitzlist"/>
        <w:numPr>
          <w:ilvl w:val="0"/>
          <w:numId w:val="5"/>
        </w:numPr>
        <w:spacing w:after="160" w:line="300" w:lineRule="auto"/>
        <w:jc w:val="both"/>
        <w:rPr>
          <w:i/>
        </w:rPr>
      </w:pPr>
      <w:r w:rsidRPr="0015619C">
        <w:rPr>
          <w:i/>
        </w:rPr>
        <w:t>Czy zespół wizytujący formułował swoje oczekiwania w sposób zrozumiały?</w:t>
      </w:r>
    </w:p>
    <w:p w14:paraId="74F358FD" w14:textId="77777777" w:rsidR="00500278" w:rsidRPr="0015619C" w:rsidRDefault="00500278" w:rsidP="00500278">
      <w:pPr>
        <w:pStyle w:val="Akapitzlist"/>
        <w:numPr>
          <w:ilvl w:val="0"/>
          <w:numId w:val="5"/>
        </w:numPr>
        <w:spacing w:after="160" w:line="300" w:lineRule="auto"/>
        <w:jc w:val="both"/>
        <w:rPr>
          <w:i/>
        </w:rPr>
      </w:pPr>
      <w:r w:rsidRPr="0015619C">
        <w:rPr>
          <w:i/>
        </w:rPr>
        <w:t>Czy zespół wizytujący formułował swoje oczekiwania w sposób zgodny z obowiązującymi przepisami prawa?</w:t>
      </w:r>
    </w:p>
    <w:p w14:paraId="36A9C916" w14:textId="77777777" w:rsidR="00500278" w:rsidRPr="0015619C" w:rsidRDefault="00500278" w:rsidP="00500278">
      <w:pPr>
        <w:pStyle w:val="Akapitzlist"/>
        <w:numPr>
          <w:ilvl w:val="0"/>
          <w:numId w:val="5"/>
        </w:numPr>
        <w:spacing w:after="160" w:line="300" w:lineRule="auto"/>
        <w:jc w:val="both"/>
        <w:rPr>
          <w:i/>
        </w:rPr>
      </w:pPr>
      <w:r w:rsidRPr="0015619C">
        <w:rPr>
          <w:i/>
        </w:rPr>
        <w:t>Czy postawa i zachowanie członków zespołu oceniającego w trakcie całej wizytacji świadczyły o poszanowaniu standardów etycznych?</w:t>
      </w:r>
    </w:p>
    <w:p w14:paraId="2A942F7A" w14:textId="77777777" w:rsidR="00500278" w:rsidRPr="0015619C" w:rsidRDefault="00500278" w:rsidP="00500278">
      <w:pPr>
        <w:pStyle w:val="Akapitzlist"/>
        <w:numPr>
          <w:ilvl w:val="0"/>
          <w:numId w:val="5"/>
        </w:numPr>
        <w:spacing w:after="160" w:line="300" w:lineRule="auto"/>
        <w:jc w:val="both"/>
        <w:rPr>
          <w:i/>
        </w:rPr>
      </w:pPr>
      <w:r w:rsidRPr="0015619C">
        <w:rPr>
          <w:i/>
        </w:rPr>
        <w:t>Czy podsumowanie pracy zespołu oceniającego podczas spotkania z władzami uczelni było poparte rzeczową i obiektywną argumentacją?</w:t>
      </w:r>
    </w:p>
    <w:p w14:paraId="11EE3709" w14:textId="77777777" w:rsidR="00500278" w:rsidRPr="0015619C" w:rsidRDefault="00500278" w:rsidP="00500278">
      <w:pPr>
        <w:pStyle w:val="Akapitzlist"/>
        <w:numPr>
          <w:ilvl w:val="0"/>
          <w:numId w:val="5"/>
        </w:numPr>
        <w:spacing w:after="160" w:line="300" w:lineRule="auto"/>
        <w:jc w:val="both"/>
        <w:rPr>
          <w:i/>
        </w:rPr>
      </w:pPr>
      <w:r w:rsidRPr="0015619C">
        <w:rPr>
          <w:i/>
        </w:rPr>
        <w:t>Czy wizytacja okazała się pomocna w rozwiązywaniu bieżących problemów dotyczących ocenianego kierunku / jednostki?</w:t>
      </w:r>
    </w:p>
    <w:p w14:paraId="7AC21454" w14:textId="77777777" w:rsidR="00500278" w:rsidRPr="0015619C" w:rsidRDefault="00500278" w:rsidP="00500278">
      <w:pPr>
        <w:pStyle w:val="Akapitzlist"/>
        <w:numPr>
          <w:ilvl w:val="0"/>
          <w:numId w:val="5"/>
        </w:numPr>
        <w:spacing w:after="160" w:line="300" w:lineRule="auto"/>
        <w:jc w:val="both"/>
        <w:rPr>
          <w:i/>
        </w:rPr>
      </w:pPr>
      <w:r w:rsidRPr="0015619C">
        <w:rPr>
          <w:i/>
        </w:rPr>
        <w:t>Czy wizytacja okazała się pomocna w ukierunkowywaniu ewentualnych zmian?</w:t>
      </w:r>
    </w:p>
    <w:p w14:paraId="0292E656" w14:textId="77777777" w:rsidR="00500278" w:rsidRPr="0015619C" w:rsidRDefault="00500278" w:rsidP="00500278">
      <w:pPr>
        <w:pStyle w:val="Akapitzlist"/>
        <w:numPr>
          <w:ilvl w:val="0"/>
          <w:numId w:val="5"/>
        </w:numPr>
        <w:spacing w:after="160" w:line="300" w:lineRule="auto"/>
        <w:jc w:val="both"/>
        <w:rPr>
          <w:i/>
        </w:rPr>
      </w:pPr>
      <w:r w:rsidRPr="0015619C">
        <w:rPr>
          <w:i/>
        </w:rPr>
        <w:t>Jak ogólnie oceniają Państwo jakość pracy zespołu oceniającego?</w:t>
      </w:r>
    </w:p>
    <w:p w14:paraId="589B229E" w14:textId="6A0E72A1" w:rsidR="00CF2727" w:rsidRPr="0015619C" w:rsidRDefault="00CF2727" w:rsidP="00500278">
      <w:pPr>
        <w:tabs>
          <w:tab w:val="left" w:pos="1665"/>
        </w:tabs>
        <w:jc w:val="both"/>
      </w:pPr>
      <w:r w:rsidRPr="0015619C">
        <w:t>Wyniki uzyskane w ostatnim kwartale 20</w:t>
      </w:r>
      <w:r w:rsidR="00680DEA">
        <w:t>20</w:t>
      </w:r>
      <w:r w:rsidRPr="0015619C">
        <w:t xml:space="preserve"> r. nie odbiegają od </w:t>
      </w:r>
      <w:r w:rsidR="00F74381" w:rsidRPr="0015619C">
        <w:t>uzyskiwanych w latach ubiegłych</w:t>
      </w:r>
      <w:r w:rsidRPr="0015619C">
        <w:t xml:space="preserve">. Oceny pozytywne stanowią zdecydowaną większość (łącznie </w:t>
      </w:r>
      <w:r w:rsidR="002C0BA6" w:rsidRPr="0015619C">
        <w:t>przeszło 9</w:t>
      </w:r>
      <w:r w:rsidR="00411695">
        <w:t>6</w:t>
      </w:r>
      <w:r w:rsidRPr="0015619C">
        <w:t>%), a negatyw</w:t>
      </w:r>
      <w:r w:rsidR="002C0BA6" w:rsidRPr="0015619C">
        <w:t>ne są bardzo nieliczne (</w:t>
      </w:r>
      <w:r w:rsidR="000D31CE" w:rsidRPr="0015619C">
        <w:t xml:space="preserve">ok. </w:t>
      </w:r>
      <w:r w:rsidR="00411695">
        <w:t>3</w:t>
      </w:r>
      <w:r w:rsidRPr="0015619C">
        <w:t>%).</w:t>
      </w:r>
    </w:p>
    <w:p w14:paraId="528BFC23" w14:textId="231BCEEB" w:rsidR="00CF2727" w:rsidRPr="0015619C" w:rsidRDefault="00680DEA" w:rsidP="00563195">
      <w:pPr>
        <w:tabs>
          <w:tab w:val="left" w:pos="1665"/>
        </w:tabs>
        <w:jc w:val="center"/>
      </w:pPr>
      <w:r>
        <w:rPr>
          <w:noProof/>
        </w:rPr>
        <w:drawing>
          <wp:inline distT="0" distB="0" distL="0" distR="0" wp14:anchorId="49589CC9" wp14:editId="1375A3DB">
            <wp:extent cx="5204460" cy="3482340"/>
            <wp:effectExtent l="0" t="0" r="0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348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3761B6" w14:textId="03A188A8" w:rsidR="004B1710" w:rsidRDefault="005862DF" w:rsidP="004B1710">
      <w:pPr>
        <w:tabs>
          <w:tab w:val="left" w:pos="1665"/>
        </w:tabs>
        <w:jc w:val="both"/>
      </w:pPr>
      <w:r w:rsidRPr="0015619C">
        <w:t xml:space="preserve">Przypadki ocen negatywnych zgodnie z przyjętą przez Komisję procedurą </w:t>
      </w:r>
      <w:r w:rsidR="000D31CE" w:rsidRPr="0015619C">
        <w:t xml:space="preserve">są </w:t>
      </w:r>
      <w:r w:rsidRPr="0015619C">
        <w:t xml:space="preserve">kierowane do wyjaśnienia przez Sekretarza PKA.  </w:t>
      </w:r>
      <w:r w:rsidR="004B1710">
        <w:t>Pomimo jednak wystąpienia takich przypadków ogólna ocena Polskiej Komisji Akredytacyjnej w czwartym kwartale 20</w:t>
      </w:r>
      <w:r w:rsidR="00411695">
        <w:t>20</w:t>
      </w:r>
      <w:r w:rsidR="004B1710">
        <w:t xml:space="preserve"> r., podobnie jak w poprzednich okresach sprawozdawczych, pozostaje niezwykle wysoka: średnia arytmetyczna wyliczona na podstawie odpowiedzi na pytania zamknięte wyniosła 4,</w:t>
      </w:r>
      <w:r w:rsidR="00411695">
        <w:t>73</w:t>
      </w:r>
      <w:r w:rsidR="004B1710">
        <w:t xml:space="preserve"> w pięciostopniowej skali. W rozbiciu na poszczególne pytania statystyka ta przedstawia się następująco:</w:t>
      </w:r>
    </w:p>
    <w:p w14:paraId="50A665D0" w14:textId="74BCD3AF" w:rsidR="00500278" w:rsidRPr="0015619C" w:rsidRDefault="00411695" w:rsidP="00A25739">
      <w:pPr>
        <w:tabs>
          <w:tab w:val="left" w:pos="1665"/>
        </w:tabs>
        <w:jc w:val="center"/>
      </w:pPr>
      <w:r>
        <w:rPr>
          <w:noProof/>
        </w:rPr>
        <w:lastRenderedPageBreak/>
        <w:drawing>
          <wp:inline distT="0" distB="0" distL="0" distR="0" wp14:anchorId="344EA830" wp14:editId="5E7CCC77">
            <wp:extent cx="5753100" cy="333756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3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9CBF05" w14:textId="67F17FB7" w:rsidR="006E4A1F" w:rsidRPr="0015619C" w:rsidRDefault="00F74381" w:rsidP="00EF3ABD">
      <w:pPr>
        <w:jc w:val="both"/>
      </w:pPr>
      <w:r w:rsidRPr="0015619C">
        <w:t>Udział wśród respondentów poszczególnych grup i typów uczelni w ostatnim kwartale 20</w:t>
      </w:r>
      <w:r w:rsidR="00411695">
        <w:t>20</w:t>
      </w:r>
      <w:r w:rsidRPr="0015619C">
        <w:t xml:space="preserve"> r. </w:t>
      </w:r>
      <w:r w:rsidR="006E4A1F" w:rsidRPr="0015619C">
        <w:t>przedstawia</w:t>
      </w:r>
      <w:r w:rsidRPr="0015619C">
        <w:t>ł</w:t>
      </w:r>
      <w:r w:rsidR="006E4A1F" w:rsidRPr="0015619C">
        <w:t xml:space="preserve"> się następująco:</w:t>
      </w:r>
    </w:p>
    <w:p w14:paraId="0A58F039" w14:textId="0F56EA5D" w:rsidR="00FA526A" w:rsidRDefault="00BF7293" w:rsidP="00BF7293">
      <w:pPr>
        <w:spacing w:after="0"/>
        <w:jc w:val="center"/>
      </w:pPr>
      <w:r>
        <w:rPr>
          <w:noProof/>
        </w:rPr>
        <w:drawing>
          <wp:inline distT="0" distB="0" distL="0" distR="0" wp14:anchorId="1A72C22A" wp14:editId="79857142">
            <wp:extent cx="5791200" cy="2948940"/>
            <wp:effectExtent l="0" t="0" r="0" b="381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94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04602D" w14:textId="77777777" w:rsidR="00FA526A" w:rsidRDefault="00FA526A" w:rsidP="00FA526A">
      <w:pPr>
        <w:pStyle w:val="Nagwek1"/>
      </w:pPr>
      <w:r>
        <w:t>Ankiety w poszczególnych zespołach PKA</w:t>
      </w:r>
    </w:p>
    <w:p w14:paraId="6FEA4AED" w14:textId="77777777" w:rsidR="00500278" w:rsidRDefault="000F4E07" w:rsidP="00500278">
      <w:pPr>
        <w:jc w:val="both"/>
      </w:pPr>
      <w:r>
        <w:t>Liczb</w:t>
      </w:r>
      <w:r w:rsidR="000D31CE">
        <w:t>ę</w:t>
      </w:r>
      <w:r>
        <w:t xml:space="preserve"> wypełnionych kwestionariuszy w ramach poszczególnych zespołów obszarowych PKA </w:t>
      </w:r>
      <w:r w:rsidR="000D31CE">
        <w:t xml:space="preserve">prezentuje poniższa tabela. </w:t>
      </w:r>
    </w:p>
    <w:tbl>
      <w:tblPr>
        <w:tblStyle w:val="Tabelasiatki5ciemnaakcent1"/>
        <w:tblW w:w="9433" w:type="dxa"/>
        <w:jc w:val="center"/>
        <w:tblLook w:val="04A0" w:firstRow="1" w:lastRow="0" w:firstColumn="1" w:lastColumn="0" w:noHBand="0" w:noVBand="1"/>
      </w:tblPr>
      <w:tblGrid>
        <w:gridCol w:w="4888"/>
        <w:gridCol w:w="4545"/>
      </w:tblGrid>
      <w:tr w:rsidR="000F4E07" w14:paraId="3B2F99CF" w14:textId="77777777" w:rsidTr="00A25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14:paraId="0A49693A" w14:textId="77777777" w:rsidR="000F4E07" w:rsidRDefault="000F4E07" w:rsidP="000F4E07">
            <w:pPr>
              <w:jc w:val="center"/>
            </w:pPr>
            <w:r>
              <w:t>Zespół</w:t>
            </w:r>
          </w:p>
        </w:tc>
        <w:tc>
          <w:tcPr>
            <w:tcW w:w="4545" w:type="dxa"/>
          </w:tcPr>
          <w:p w14:paraId="3D5684C0" w14:textId="77777777" w:rsidR="000F4E07" w:rsidRDefault="000F4E07" w:rsidP="00A07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wypełnionych ankiet</w:t>
            </w:r>
          </w:p>
        </w:tc>
      </w:tr>
      <w:tr w:rsidR="000F4E07" w14:paraId="749C1660" w14:textId="77777777" w:rsidTr="00A2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14:paraId="2C2C6ECB" w14:textId="77777777" w:rsidR="000F4E07" w:rsidRDefault="000F4E07" w:rsidP="00A25739">
            <w:pPr>
              <w:spacing w:after="0"/>
            </w:pPr>
            <w:r>
              <w:t>Zespół nauk humanistycznych</w:t>
            </w:r>
          </w:p>
        </w:tc>
        <w:tc>
          <w:tcPr>
            <w:tcW w:w="4545" w:type="dxa"/>
            <w:vAlign w:val="center"/>
          </w:tcPr>
          <w:p w14:paraId="3FA33E5C" w14:textId="6F53233F" w:rsidR="000F4E07" w:rsidRDefault="00BF7293" w:rsidP="00A257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C03ACA" w14:paraId="04962E8F" w14:textId="77777777" w:rsidTr="00A25739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14:paraId="2313619B" w14:textId="77777777" w:rsidR="00C03ACA" w:rsidRDefault="00C03ACA" w:rsidP="00A25739">
            <w:pPr>
              <w:spacing w:after="0"/>
            </w:pPr>
            <w:r>
              <w:lastRenderedPageBreak/>
              <w:t>Zespół nauk społecznych w zakresie nauk ekonomicznych</w:t>
            </w:r>
          </w:p>
        </w:tc>
        <w:tc>
          <w:tcPr>
            <w:tcW w:w="4545" w:type="dxa"/>
          </w:tcPr>
          <w:p w14:paraId="39942D2F" w14:textId="2D7F67A7" w:rsidR="00C03ACA" w:rsidRDefault="00BF7293" w:rsidP="00A257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C03ACA" w14:paraId="293D079B" w14:textId="77777777" w:rsidTr="00A2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14:paraId="1084C632" w14:textId="77777777" w:rsidR="00C03ACA" w:rsidRDefault="00C03ACA" w:rsidP="00A25739">
            <w:pPr>
              <w:spacing w:after="0"/>
            </w:pPr>
            <w:r>
              <w:t>Zespół nauk społecznych w zakresie nauk społecznych i prawnych</w:t>
            </w:r>
          </w:p>
        </w:tc>
        <w:tc>
          <w:tcPr>
            <w:tcW w:w="4545" w:type="dxa"/>
          </w:tcPr>
          <w:p w14:paraId="50B42004" w14:textId="77777777" w:rsidR="00C03ACA" w:rsidRDefault="00C03ACA" w:rsidP="00A257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37EA">
              <w:t>-</w:t>
            </w:r>
          </w:p>
        </w:tc>
      </w:tr>
      <w:tr w:rsidR="00C03ACA" w14:paraId="43C1546F" w14:textId="77777777" w:rsidTr="00A25739">
        <w:trPr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14:paraId="25598A18" w14:textId="77777777" w:rsidR="00C03ACA" w:rsidRDefault="00C03ACA" w:rsidP="00A25739">
            <w:pPr>
              <w:spacing w:after="0"/>
            </w:pPr>
            <w:r>
              <w:t>Zespół nauk ścisłych</w:t>
            </w:r>
          </w:p>
        </w:tc>
        <w:tc>
          <w:tcPr>
            <w:tcW w:w="4545" w:type="dxa"/>
          </w:tcPr>
          <w:p w14:paraId="77138AD0" w14:textId="35DCC6EE" w:rsidR="00C03ACA" w:rsidRDefault="00BF7293" w:rsidP="00A257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C03ACA" w14:paraId="1BC8C2A0" w14:textId="77777777" w:rsidTr="00A2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14:paraId="6AD0FE5D" w14:textId="77777777" w:rsidR="00C03ACA" w:rsidRDefault="00C03ACA" w:rsidP="00A25739">
            <w:pPr>
              <w:spacing w:after="0"/>
            </w:pPr>
            <w:r>
              <w:t>Zespół nauk przyrodniczych oraz rolniczych, leśnych i weterynaryjnych</w:t>
            </w:r>
          </w:p>
        </w:tc>
        <w:tc>
          <w:tcPr>
            <w:tcW w:w="4545" w:type="dxa"/>
          </w:tcPr>
          <w:p w14:paraId="6EBB2008" w14:textId="474F94C8" w:rsidR="00C03ACA" w:rsidRDefault="00BF7293" w:rsidP="00A257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C03ACA" w14:paraId="2ECCB895" w14:textId="77777777" w:rsidTr="00A25739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14:paraId="7FDF475E" w14:textId="77777777" w:rsidR="00C03ACA" w:rsidRDefault="00C03ACA" w:rsidP="00A25739">
            <w:pPr>
              <w:spacing w:after="0"/>
            </w:pPr>
            <w:r>
              <w:t>Zespół nauk technicznych</w:t>
            </w:r>
          </w:p>
        </w:tc>
        <w:tc>
          <w:tcPr>
            <w:tcW w:w="4545" w:type="dxa"/>
          </w:tcPr>
          <w:p w14:paraId="33C1D9C9" w14:textId="7DDBA057" w:rsidR="00C03ACA" w:rsidRDefault="00BF7293" w:rsidP="00A257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C03ACA" w14:paraId="14AC2764" w14:textId="77777777" w:rsidTr="00A2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14:paraId="7ED1E752" w14:textId="77777777" w:rsidR="00C03ACA" w:rsidRDefault="00C03ACA" w:rsidP="00A25739">
            <w:pPr>
              <w:spacing w:after="0"/>
            </w:pPr>
            <w:r>
              <w:t>Zespół nauk medycznych i nauk o zdrowiu oraz nauk o kulturze fizycznej</w:t>
            </w:r>
          </w:p>
        </w:tc>
        <w:tc>
          <w:tcPr>
            <w:tcW w:w="4545" w:type="dxa"/>
          </w:tcPr>
          <w:p w14:paraId="55A421A9" w14:textId="27FAB6C6" w:rsidR="00C03ACA" w:rsidRDefault="00BF7293" w:rsidP="00A257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0F4E07" w14:paraId="60A90711" w14:textId="77777777" w:rsidTr="00A25739">
        <w:trPr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14:paraId="2B6FD662" w14:textId="77777777" w:rsidR="000F4E07" w:rsidRDefault="000F4E07" w:rsidP="00A25739">
            <w:pPr>
              <w:spacing w:after="0"/>
            </w:pPr>
            <w:r>
              <w:t>Zespół sztuki</w:t>
            </w:r>
          </w:p>
        </w:tc>
        <w:tc>
          <w:tcPr>
            <w:tcW w:w="4545" w:type="dxa"/>
            <w:vAlign w:val="center"/>
          </w:tcPr>
          <w:p w14:paraId="7C804A22" w14:textId="0ED99685" w:rsidR="000F4E07" w:rsidRDefault="00BF7293" w:rsidP="00A257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14:paraId="4F80F5CF" w14:textId="77777777" w:rsidR="003A1E94" w:rsidRDefault="000D31CE" w:rsidP="00A25739">
      <w:pPr>
        <w:spacing w:before="240"/>
        <w:jc w:val="both"/>
      </w:pPr>
      <w:r>
        <w:t>S</w:t>
      </w:r>
      <w:r w:rsidR="003A1E94">
        <w:t xml:space="preserve">kromna liczba wypełnianych kwestionariuszy nie pozwala wysuwać daleko idących wniosków. </w:t>
      </w:r>
    </w:p>
    <w:p w14:paraId="2162EFDA" w14:textId="77777777" w:rsidR="00500278" w:rsidRDefault="00F15A06" w:rsidP="00500278">
      <w:pPr>
        <w:pStyle w:val="Nagwek1"/>
      </w:pPr>
      <w:r>
        <w:t>A</w:t>
      </w:r>
      <w:r w:rsidR="00500278">
        <w:t>naliza odpowiedzi</w:t>
      </w:r>
      <w:r>
        <w:t xml:space="preserve"> na pytania otwarte</w:t>
      </w:r>
    </w:p>
    <w:p w14:paraId="6B983604" w14:textId="77777777" w:rsidR="00F15A06" w:rsidRDefault="00F15A06" w:rsidP="00F74381">
      <w:pPr>
        <w:jc w:val="both"/>
      </w:pPr>
      <w:r>
        <w:t>W kwestionariuszu przygotowanym Przez Polską Komisję Akredytacyjną znajduje się 5 pytań otwartych:</w:t>
      </w:r>
    </w:p>
    <w:p w14:paraId="495D1DA8" w14:textId="77777777" w:rsidR="00F15A06" w:rsidRDefault="00F15A06" w:rsidP="00F74381">
      <w:pPr>
        <w:pStyle w:val="Akapitzlist"/>
        <w:numPr>
          <w:ilvl w:val="0"/>
          <w:numId w:val="7"/>
        </w:numPr>
        <w:jc w:val="both"/>
      </w:pPr>
      <w:r w:rsidRPr="00F15A06">
        <w:t>Jakie aspekty pracy zespołu oceniają</w:t>
      </w:r>
      <w:r>
        <w:t>cego oceniacie Państwo najwyżej?</w:t>
      </w:r>
    </w:p>
    <w:p w14:paraId="14478695" w14:textId="77777777" w:rsidR="00F15A06" w:rsidRDefault="00F15A06" w:rsidP="00F74381">
      <w:pPr>
        <w:pStyle w:val="Akapitzlist"/>
        <w:numPr>
          <w:ilvl w:val="0"/>
          <w:numId w:val="7"/>
        </w:numPr>
        <w:jc w:val="both"/>
      </w:pPr>
      <w:r w:rsidRPr="00F15A06">
        <w:t>Co należałoby zmieni</w:t>
      </w:r>
      <w:r>
        <w:t>ć w pracy zespołów oceniających?</w:t>
      </w:r>
    </w:p>
    <w:p w14:paraId="1702BFB9" w14:textId="77777777" w:rsidR="00F15A06" w:rsidRDefault="00F15A06" w:rsidP="00F74381">
      <w:pPr>
        <w:pStyle w:val="Akapitzlist"/>
        <w:numPr>
          <w:ilvl w:val="0"/>
          <w:numId w:val="7"/>
        </w:numPr>
        <w:jc w:val="both"/>
      </w:pPr>
      <w:r w:rsidRPr="00F15A06">
        <w:t>Jakim zagadnieniom należałoby Państwa zdaniem poświęcić w</w:t>
      </w:r>
      <w:r>
        <w:t>ięcej czasu w trakcie wizytacji?</w:t>
      </w:r>
    </w:p>
    <w:p w14:paraId="5F81DB85" w14:textId="77777777" w:rsidR="00F15A06" w:rsidRDefault="00F15A06" w:rsidP="00F74381">
      <w:pPr>
        <w:pStyle w:val="Akapitzlist"/>
        <w:numPr>
          <w:ilvl w:val="0"/>
          <w:numId w:val="7"/>
        </w:numPr>
        <w:jc w:val="both"/>
      </w:pPr>
      <w:r w:rsidRPr="00F15A06">
        <w:t>Jakie macie Państwo inne uwagi dotyc</w:t>
      </w:r>
      <w:r>
        <w:t>zące pracy zespołu oceniającego?</w:t>
      </w:r>
    </w:p>
    <w:p w14:paraId="13CF69D1" w14:textId="77777777" w:rsidR="00F15A06" w:rsidRPr="00F15A06" w:rsidRDefault="00F15A06" w:rsidP="00F74381">
      <w:pPr>
        <w:pStyle w:val="Akapitzlist"/>
        <w:numPr>
          <w:ilvl w:val="0"/>
          <w:numId w:val="7"/>
        </w:numPr>
        <w:jc w:val="both"/>
      </w:pPr>
      <w:r w:rsidRPr="00F15A06">
        <w:t>Jakie macie Państwo inne uwagi dotyczące przyjętych</w:t>
      </w:r>
      <w:r>
        <w:t xml:space="preserve"> przez PKA kryteriów i procedur?</w:t>
      </w:r>
    </w:p>
    <w:p w14:paraId="171B2B01" w14:textId="77777777" w:rsidR="00F15A06" w:rsidRDefault="00F15A06" w:rsidP="00F74381">
      <w:pPr>
        <w:jc w:val="both"/>
      </w:pPr>
      <w:r>
        <w:t xml:space="preserve">Spostrzeżenia formułowane przez ankietowanych korelowały z ogólną oceną prac PKA wyrażoną w odpowiedziach na pytania zamknięte, tj. </w:t>
      </w:r>
      <w:r w:rsidR="006E467C">
        <w:t>zawierały w zdecydowanej większości oceny pozytywne</w:t>
      </w:r>
      <w:r>
        <w:t>. Akcentowano przede wszystkim profesjonalizm członków zespołów</w:t>
      </w:r>
      <w:r w:rsidR="006E467C">
        <w:t xml:space="preserve"> oceniających, ich życzliwość i </w:t>
      </w:r>
      <w:r>
        <w:t>kulturę osobistą.</w:t>
      </w:r>
    </w:p>
    <w:p w14:paraId="084D820F" w14:textId="0DAC096E" w:rsidR="000D31CE" w:rsidRDefault="000D31CE" w:rsidP="000D31CE">
      <w:pPr>
        <w:jc w:val="both"/>
      </w:pPr>
      <w:r>
        <w:t>Ze względu na skromną próbę odstąpiono od analizy odpowiedzi w ramach poszczególnych zespołów oraz szczegółowej analizy odpowiedzi na pytania otwarte.</w:t>
      </w:r>
      <w:r w:rsidRPr="00C42C20">
        <w:t xml:space="preserve"> </w:t>
      </w:r>
      <w:r w:rsidR="00F87062" w:rsidRPr="00F87062">
        <w:t xml:space="preserve">Celem monitorowania zastrzeżeń zgłaszanych odnoście do pracy zespołów oceniających </w:t>
      </w:r>
      <w:r w:rsidR="00F87062">
        <w:t>oraz doskonalenia przyjętych procedur działania zwrócono</w:t>
      </w:r>
      <w:r w:rsidR="00F87062" w:rsidRPr="00F87062">
        <w:t xml:space="preserve"> uwagę na sformułowane dla rozpatrywanego okresu sprawozdawczego uwagi, przytoczone poniżej jako cytaty</w:t>
      </w:r>
      <w:r w:rsidR="00122CE7">
        <w:t>. Mają one szczególnie istotne znaczenie również ze względu na fakt, iż po raz pierwszy odnoszą się do wizytacji przeprowadzanych przez Polską Komisję Akredytacyjną w formie zdalnej</w:t>
      </w:r>
      <w:r>
        <w:t>:</w:t>
      </w:r>
    </w:p>
    <w:p w14:paraId="5E7135CB" w14:textId="749F107B" w:rsidR="00F87062" w:rsidRDefault="00BF7293" w:rsidP="0085372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lang w:eastAsia="pl-PL"/>
        </w:rPr>
      </w:pPr>
      <w:r w:rsidRPr="00BF7293">
        <w:rPr>
          <w:rFonts w:eastAsia="Times New Roman" w:cstheme="minorHAnsi"/>
          <w:i/>
          <w:iCs/>
          <w:lang w:eastAsia="pl-PL"/>
        </w:rPr>
        <w:t>Odnieśliśmy wrażenie, że pewne części raportu mogły zostać pominięte.</w:t>
      </w:r>
      <w:r w:rsidR="0085372F" w:rsidRPr="0085372F">
        <w:rPr>
          <w:rFonts w:eastAsia="Times New Roman" w:cstheme="minorHAnsi"/>
          <w:i/>
          <w:iCs/>
          <w:lang w:eastAsia="pl-PL"/>
        </w:rPr>
        <w:t xml:space="preserve"> (Z</w:t>
      </w:r>
      <w:r>
        <w:rPr>
          <w:rFonts w:eastAsia="Times New Roman" w:cstheme="minorHAnsi"/>
          <w:i/>
          <w:iCs/>
          <w:lang w:eastAsia="pl-PL"/>
        </w:rPr>
        <w:t>SII</w:t>
      </w:r>
      <w:r w:rsidR="0085372F" w:rsidRPr="0085372F">
        <w:rPr>
          <w:rFonts w:eastAsia="Times New Roman" w:cstheme="minorHAnsi"/>
          <w:i/>
          <w:iCs/>
          <w:lang w:eastAsia="pl-PL"/>
        </w:rPr>
        <w:t>)</w:t>
      </w:r>
    </w:p>
    <w:p w14:paraId="154824F7" w14:textId="42329E49" w:rsidR="00BF7293" w:rsidRDefault="00BF7293" w:rsidP="0085372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lang w:eastAsia="pl-PL"/>
        </w:rPr>
      </w:pPr>
      <w:r w:rsidRPr="00BF7293">
        <w:rPr>
          <w:rFonts w:eastAsia="Times New Roman" w:cstheme="minorHAnsi"/>
          <w:i/>
          <w:iCs/>
          <w:lang w:eastAsia="pl-PL"/>
        </w:rPr>
        <w:t>Brakuje kontaktu z administracją Wydziału (dziekanat) i dyskusji na temat zagadnień związanych z</w:t>
      </w:r>
      <w:r w:rsidR="00122CE7">
        <w:rPr>
          <w:rFonts w:eastAsia="Times New Roman" w:cstheme="minorHAnsi"/>
          <w:i/>
          <w:iCs/>
          <w:lang w:eastAsia="pl-PL"/>
        </w:rPr>
        <w:t> </w:t>
      </w:r>
      <w:r w:rsidRPr="00BF7293">
        <w:rPr>
          <w:rFonts w:eastAsia="Times New Roman" w:cstheme="minorHAnsi"/>
          <w:i/>
          <w:iCs/>
          <w:lang w:eastAsia="pl-PL"/>
        </w:rPr>
        <w:t>pracą ze studentami</w:t>
      </w:r>
      <w:r>
        <w:rPr>
          <w:rFonts w:eastAsia="Times New Roman" w:cstheme="minorHAnsi"/>
          <w:i/>
          <w:iCs/>
          <w:lang w:eastAsia="pl-PL"/>
        </w:rPr>
        <w:t xml:space="preserve"> (ZIT)</w:t>
      </w:r>
    </w:p>
    <w:p w14:paraId="3E8D9456" w14:textId="0184D17E" w:rsidR="00BF7293" w:rsidRDefault="00BF7293" w:rsidP="0085372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lang w:eastAsia="pl-PL"/>
        </w:rPr>
      </w:pPr>
      <w:r w:rsidRPr="00BF7293">
        <w:rPr>
          <w:rFonts w:eastAsia="Times New Roman" w:cstheme="minorHAnsi"/>
          <w:i/>
          <w:iCs/>
          <w:lang w:eastAsia="pl-PL"/>
        </w:rPr>
        <w:t>Problem skoordynowania i zgodności opinii w poszczególnych częściach raportu oceniającego ZO PKA. Okazuje się, że określony wątek (zastrzeżenie) opisane np. w kryterium 2, już w kryterium 3</w:t>
      </w:r>
      <w:r w:rsidR="00122CE7">
        <w:rPr>
          <w:rFonts w:eastAsia="Times New Roman" w:cstheme="minorHAnsi"/>
          <w:i/>
          <w:iCs/>
          <w:lang w:eastAsia="pl-PL"/>
        </w:rPr>
        <w:t> </w:t>
      </w:r>
      <w:r w:rsidRPr="00BF7293">
        <w:rPr>
          <w:rFonts w:eastAsia="Times New Roman" w:cstheme="minorHAnsi"/>
          <w:i/>
          <w:iCs/>
          <w:lang w:eastAsia="pl-PL"/>
        </w:rPr>
        <w:t>i</w:t>
      </w:r>
      <w:r w:rsidR="00122CE7">
        <w:rPr>
          <w:rFonts w:eastAsia="Times New Roman" w:cstheme="minorHAnsi"/>
          <w:i/>
          <w:iCs/>
          <w:lang w:eastAsia="pl-PL"/>
        </w:rPr>
        <w:t> </w:t>
      </w:r>
      <w:r w:rsidRPr="00BF7293">
        <w:rPr>
          <w:rFonts w:eastAsia="Times New Roman" w:cstheme="minorHAnsi"/>
          <w:i/>
          <w:iCs/>
          <w:lang w:eastAsia="pl-PL"/>
        </w:rPr>
        <w:t>dalszych opisany jest inaczej i nie wzbudza żadnych zastrzeżeń. W efekcie w raporcie znajdujemy sporo niejednoznacznych, a nawet kolidujących ze sobą spostrzeżeń ZO</w:t>
      </w:r>
      <w:r>
        <w:rPr>
          <w:rFonts w:eastAsia="Times New Roman" w:cstheme="minorHAnsi"/>
          <w:i/>
          <w:iCs/>
          <w:lang w:eastAsia="pl-PL"/>
        </w:rPr>
        <w:t xml:space="preserve"> (ZSII)</w:t>
      </w:r>
    </w:p>
    <w:p w14:paraId="118D7904" w14:textId="55F1CF86" w:rsidR="00BF7293" w:rsidRDefault="00BF7293" w:rsidP="0085372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lang w:eastAsia="pl-PL"/>
        </w:rPr>
      </w:pPr>
      <w:r w:rsidRPr="00BF7293">
        <w:rPr>
          <w:rFonts w:eastAsia="Times New Roman" w:cstheme="minorHAnsi"/>
          <w:i/>
          <w:iCs/>
          <w:lang w:eastAsia="pl-PL"/>
        </w:rPr>
        <w:lastRenderedPageBreak/>
        <w:t>Specyfice działania określonej uczelni i specyfice studiującej populacji. W kolejnych już procesach akredytacyjnych w naszej uczelni odnotowujemy, że zespoły oceniające PKA nie uwzględniają często specyfiki uczelni niepublicznych, gdzie dominująca część populacji studentów to osoby aktywne zawodowe, często ze sporym doświadczeniem zawodowym, znacznie starsze niż w przypadku populacji studentów studiów stacjonarnych z uczelni publicznych. Od lat rozwijamy uczelnię i jej ofertę w odpowiedzi na specyficzne potrzeby naszych studentów, koncentrujemy się na LLL i</w:t>
      </w:r>
      <w:r w:rsidR="00122CE7">
        <w:rPr>
          <w:rFonts w:eastAsia="Times New Roman" w:cstheme="minorHAnsi"/>
          <w:i/>
          <w:iCs/>
          <w:lang w:eastAsia="pl-PL"/>
        </w:rPr>
        <w:t> </w:t>
      </w:r>
      <w:r w:rsidRPr="00BF7293">
        <w:rPr>
          <w:rFonts w:eastAsia="Times New Roman" w:cstheme="minorHAnsi"/>
          <w:i/>
          <w:iCs/>
          <w:lang w:eastAsia="pl-PL"/>
        </w:rPr>
        <w:t>stworzeniu warunków do łączenia pracy zawodowej z nauką i rozwojem kwalifikacji. Tymczasem zespoły oceniające PKA zdają się nie zauważać tych cech charakterystycznych.</w:t>
      </w:r>
      <w:r>
        <w:rPr>
          <w:rFonts w:eastAsia="Times New Roman" w:cstheme="minorHAnsi"/>
          <w:i/>
          <w:iCs/>
          <w:lang w:eastAsia="pl-PL"/>
        </w:rPr>
        <w:t xml:space="preserve"> (ZSII)</w:t>
      </w:r>
    </w:p>
    <w:p w14:paraId="3F9E084D" w14:textId="19C3BB33" w:rsidR="00BF7293" w:rsidRPr="0085372F" w:rsidRDefault="00BF7293" w:rsidP="0085372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lang w:eastAsia="pl-PL"/>
        </w:rPr>
      </w:pPr>
      <w:r w:rsidRPr="00BF7293">
        <w:rPr>
          <w:rFonts w:eastAsia="Times New Roman" w:cstheme="minorHAnsi"/>
          <w:i/>
          <w:iCs/>
          <w:lang w:eastAsia="pl-PL"/>
        </w:rPr>
        <w:t>Warto opracować i udostępnić z wyprzedzeniem katalog wymaganych w trakcie wizytacji dokumentów. W praktyce byliśmy zaskakiwani potrzebą okazania określonej dokumentacji, zestawień, itp. w przeddzień, a nawet podczas trwania wizytacji. Wymagało to zaangażowaniu wielu osób, co w czasie trwania zjazdu studenckiego i różnych problemów operacyjnych, utrudniało rutynową pracę.</w:t>
      </w:r>
      <w:r>
        <w:rPr>
          <w:rFonts w:eastAsia="Times New Roman" w:cstheme="minorHAnsi"/>
          <w:i/>
          <w:iCs/>
          <w:lang w:eastAsia="pl-PL"/>
        </w:rPr>
        <w:t xml:space="preserve"> (ZSII)</w:t>
      </w:r>
    </w:p>
    <w:p w14:paraId="70D9F19C" w14:textId="313AC8A8" w:rsidR="000D31CE" w:rsidRDefault="00BF7293" w:rsidP="0085372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lang w:eastAsia="pl-PL"/>
        </w:rPr>
      </w:pPr>
      <w:r w:rsidRPr="00BF7293">
        <w:rPr>
          <w:rFonts w:eastAsia="Times New Roman" w:cstheme="minorHAnsi"/>
          <w:i/>
          <w:iCs/>
          <w:lang w:eastAsia="pl-PL"/>
        </w:rPr>
        <w:t>Czas zaplanowany na wizytę, szczególnie napięty plan spotkań on-line uniemożliwił pełne omówienie tematów.</w:t>
      </w:r>
      <w:r>
        <w:rPr>
          <w:rFonts w:eastAsia="Times New Roman" w:cstheme="minorHAnsi"/>
          <w:i/>
          <w:iCs/>
          <w:lang w:eastAsia="pl-PL"/>
        </w:rPr>
        <w:t xml:space="preserve"> (ZSII)</w:t>
      </w:r>
    </w:p>
    <w:p w14:paraId="3730A4AE" w14:textId="37B6093F" w:rsidR="00BF7293" w:rsidRDefault="00BF7293" w:rsidP="0085372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lang w:eastAsia="pl-PL"/>
        </w:rPr>
      </w:pPr>
      <w:r w:rsidRPr="00BF7293">
        <w:rPr>
          <w:rFonts w:eastAsia="Times New Roman" w:cstheme="minorHAnsi"/>
          <w:i/>
          <w:iCs/>
          <w:lang w:eastAsia="pl-PL"/>
        </w:rPr>
        <w:t>Zespół oceniający mógłby skonfrontować niektóre wypowiedzi studentów z wypowiedziami pracowników.</w:t>
      </w:r>
      <w:r>
        <w:rPr>
          <w:rFonts w:eastAsia="Times New Roman" w:cstheme="minorHAnsi"/>
          <w:i/>
          <w:iCs/>
          <w:lang w:eastAsia="pl-PL"/>
        </w:rPr>
        <w:t xml:space="preserve"> (ZSII)</w:t>
      </w:r>
    </w:p>
    <w:p w14:paraId="5D8D8A2E" w14:textId="5BFC85E9" w:rsidR="00BF7293" w:rsidRDefault="00BF7293" w:rsidP="0085372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lang w:eastAsia="pl-PL"/>
        </w:rPr>
      </w:pPr>
      <w:r w:rsidRPr="00BF7293">
        <w:rPr>
          <w:rFonts w:eastAsia="Times New Roman" w:cstheme="minorHAnsi"/>
          <w:i/>
          <w:iCs/>
          <w:lang w:eastAsia="pl-PL"/>
        </w:rPr>
        <w:t>Fakt realizacji wizyty w formule on-line pozbawił nas możliwości pokazania wszystkich aspektów naszej działalności. Taka procedura jest na pewno uboższa.</w:t>
      </w:r>
      <w:r>
        <w:rPr>
          <w:rFonts w:eastAsia="Times New Roman" w:cstheme="minorHAnsi"/>
          <w:i/>
          <w:iCs/>
          <w:lang w:eastAsia="pl-PL"/>
        </w:rPr>
        <w:t xml:space="preserve"> (ZSII)</w:t>
      </w:r>
    </w:p>
    <w:p w14:paraId="01AA14D0" w14:textId="6BB24377" w:rsidR="00BF7293" w:rsidRDefault="00BF7293" w:rsidP="0085372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lang w:eastAsia="pl-PL"/>
        </w:rPr>
      </w:pPr>
      <w:r w:rsidRPr="00BF7293">
        <w:rPr>
          <w:rFonts w:eastAsia="Times New Roman" w:cstheme="minorHAnsi"/>
          <w:i/>
          <w:iCs/>
          <w:lang w:eastAsia="pl-PL"/>
        </w:rPr>
        <w:t xml:space="preserve">w dobie pandemii wszystkie kwestie związane z brakiem bezpośredniego kontaktu sprawiają pewne kłopoty, przykładowo prezentacja bazy naukowej i dydaktycznej - czy w postaci nagranego wcześniej filmu (jeszcze przed wizytacja) połączonego z dyskusją on-line </w:t>
      </w:r>
      <w:proofErr w:type="spellStart"/>
      <w:r w:rsidRPr="00BF7293">
        <w:rPr>
          <w:rFonts w:eastAsia="Times New Roman" w:cstheme="minorHAnsi"/>
          <w:i/>
          <w:iCs/>
          <w:lang w:eastAsia="pl-PL"/>
        </w:rPr>
        <w:t>juz</w:t>
      </w:r>
      <w:proofErr w:type="spellEnd"/>
      <w:r w:rsidRPr="00BF7293">
        <w:rPr>
          <w:rFonts w:eastAsia="Times New Roman" w:cstheme="minorHAnsi"/>
          <w:i/>
          <w:iCs/>
          <w:lang w:eastAsia="pl-PL"/>
        </w:rPr>
        <w:t xml:space="preserve"> podczas wizytacji, czy ten może "oprowadzanie on-line" podczas wizytacji</w:t>
      </w:r>
      <w:r>
        <w:rPr>
          <w:rFonts w:eastAsia="Times New Roman" w:cstheme="minorHAnsi"/>
          <w:i/>
          <w:iCs/>
          <w:lang w:eastAsia="pl-PL"/>
        </w:rPr>
        <w:t xml:space="preserve"> (</w:t>
      </w:r>
      <w:proofErr w:type="spellStart"/>
      <w:r>
        <w:rPr>
          <w:rFonts w:eastAsia="Times New Roman" w:cstheme="minorHAnsi"/>
          <w:i/>
          <w:iCs/>
          <w:lang w:eastAsia="pl-PL"/>
        </w:rPr>
        <w:t>ZŚiP</w:t>
      </w:r>
      <w:proofErr w:type="spellEnd"/>
      <w:r>
        <w:rPr>
          <w:rFonts w:eastAsia="Times New Roman" w:cstheme="minorHAnsi"/>
          <w:i/>
          <w:iCs/>
          <w:lang w:eastAsia="pl-PL"/>
        </w:rPr>
        <w:t>)</w:t>
      </w:r>
    </w:p>
    <w:p w14:paraId="30D31761" w14:textId="51B0C797" w:rsidR="00BF7293" w:rsidRDefault="00BF7293" w:rsidP="0085372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lang w:eastAsia="pl-PL"/>
        </w:rPr>
      </w:pPr>
      <w:r w:rsidRPr="00BF7293">
        <w:rPr>
          <w:rFonts w:eastAsia="Times New Roman" w:cstheme="minorHAnsi"/>
          <w:i/>
          <w:iCs/>
          <w:lang w:eastAsia="pl-PL"/>
        </w:rPr>
        <w:t>Rozumiemy, że wizytacja musiała mieć w obecnej sytuacji formę zdalną, ale w naszej opinii zdecydowanie lepszym rozwiązaniem byłaby wizytacja bezpośrednia.</w:t>
      </w:r>
      <w:r>
        <w:rPr>
          <w:rFonts w:eastAsia="Times New Roman" w:cstheme="minorHAnsi"/>
          <w:i/>
          <w:iCs/>
          <w:lang w:eastAsia="pl-PL"/>
        </w:rPr>
        <w:t xml:space="preserve"> (ZIT)</w:t>
      </w:r>
    </w:p>
    <w:p w14:paraId="05E5BC42" w14:textId="4C19917A" w:rsidR="00BF7293" w:rsidRDefault="00BF7293" w:rsidP="0085372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lang w:eastAsia="pl-PL"/>
        </w:rPr>
      </w:pPr>
      <w:r w:rsidRPr="00BF7293">
        <w:rPr>
          <w:rFonts w:eastAsia="Times New Roman" w:cstheme="minorHAnsi"/>
          <w:i/>
          <w:iCs/>
          <w:lang w:eastAsia="pl-PL"/>
        </w:rPr>
        <w:t>Docelowo proponujemy rozważyć możliwość organizacji wizytacji w formie hybrydowej. W</w:t>
      </w:r>
      <w:r w:rsidR="00122CE7">
        <w:rPr>
          <w:rFonts w:eastAsia="Times New Roman" w:cstheme="minorHAnsi"/>
          <w:i/>
          <w:iCs/>
          <w:lang w:eastAsia="pl-PL"/>
        </w:rPr>
        <w:t> </w:t>
      </w:r>
      <w:r w:rsidRPr="00BF7293">
        <w:rPr>
          <w:rFonts w:eastAsia="Times New Roman" w:cstheme="minorHAnsi"/>
          <w:i/>
          <w:iCs/>
          <w:lang w:eastAsia="pl-PL"/>
        </w:rPr>
        <w:t>szczególności spotkania z Interesariuszami oraz kadrą realizowane w formie zdalnej umożliwiłyby m.in. wzięcie udziału w nich osób przebywających za granicą.</w:t>
      </w:r>
      <w:r>
        <w:rPr>
          <w:rFonts w:eastAsia="Times New Roman" w:cstheme="minorHAnsi"/>
          <w:i/>
          <w:iCs/>
          <w:lang w:eastAsia="pl-PL"/>
        </w:rPr>
        <w:t xml:space="preserve"> (ZSII)</w:t>
      </w:r>
    </w:p>
    <w:p w14:paraId="6FCF5ED7" w14:textId="738A07F2" w:rsidR="00BF7293" w:rsidRDefault="00BF7293" w:rsidP="0085372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lang w:eastAsia="pl-PL"/>
        </w:rPr>
      </w:pPr>
      <w:r w:rsidRPr="00BF7293">
        <w:rPr>
          <w:rFonts w:eastAsia="Times New Roman" w:cstheme="minorHAnsi"/>
          <w:i/>
          <w:iCs/>
          <w:lang w:eastAsia="pl-PL"/>
        </w:rPr>
        <w:t>W naszej ocenie, możliwość udzielania odpowiedzi na pytania Ekspertów zadane z wyprzedzeniem przed terminem wizytacji usprawniły przebieg oceny, a nawet pozwoliły skrócić czas spotkań realizowanych on-line w czasie wizytacji. Proponujemy rozważenie takiej formy przygotowania do spotkań.</w:t>
      </w:r>
      <w:r>
        <w:rPr>
          <w:rFonts w:eastAsia="Times New Roman" w:cstheme="minorHAnsi"/>
          <w:i/>
          <w:iCs/>
          <w:lang w:eastAsia="pl-PL"/>
        </w:rPr>
        <w:t xml:space="preserve"> (ZSII)</w:t>
      </w:r>
    </w:p>
    <w:p w14:paraId="115FCDEC" w14:textId="6603AD3E" w:rsidR="00BF7293" w:rsidRDefault="00BF7293" w:rsidP="0085372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lang w:eastAsia="pl-PL"/>
        </w:rPr>
      </w:pPr>
      <w:r w:rsidRPr="00BF7293">
        <w:rPr>
          <w:rFonts w:eastAsia="Times New Roman" w:cstheme="minorHAnsi"/>
          <w:i/>
          <w:iCs/>
          <w:lang w:eastAsia="pl-PL"/>
        </w:rPr>
        <w:t>Należy zoptymalizować czas zdalnej pracy zespołu: np. tak aby członek zespołu oceniającego mógł być obecny na całych hospitowanych zajęciach i mógł je precyzyjnie ocenić.  Rozmowa z władzami uczelni może także przynieść lepsze rezultaty, jeśli będzie dłuższa. Zespół oceniający powinien także oddać więcej czasu na udzielanie odpowiedzi podczas rozmów z zespołem przygotowującym raport samooceny i wykładowcami, w ten sposób ma szansę dowiedzenia się jakie jest tło określonych działań i rozwiązań programowych bądź organizacyjnych. Spotkania powinny być także dłuższe, a</w:t>
      </w:r>
      <w:r w:rsidR="00122CE7">
        <w:rPr>
          <w:rFonts w:eastAsia="Times New Roman" w:cstheme="minorHAnsi"/>
          <w:i/>
          <w:iCs/>
          <w:lang w:eastAsia="pl-PL"/>
        </w:rPr>
        <w:t> </w:t>
      </w:r>
      <w:r w:rsidRPr="00BF7293">
        <w:rPr>
          <w:rFonts w:eastAsia="Times New Roman" w:cstheme="minorHAnsi"/>
          <w:i/>
          <w:iCs/>
          <w:lang w:eastAsia="pl-PL"/>
        </w:rPr>
        <w:t>przynajmniej mieć bardziej dialogiczny charakter. Ewentualnie organizacja poszczególnych sekcji tematycznych powinna mieć taki model, żeby możliwe było dynamiczne kontynuowanie wątków na kolejnych etapach wizytacji. W niektórych przypadkach można było odnieść wrażenie braku podsumowania lub sfinalizowania danej części rozmowy.</w:t>
      </w:r>
      <w:r>
        <w:rPr>
          <w:rFonts w:eastAsia="Times New Roman" w:cstheme="minorHAnsi"/>
          <w:i/>
          <w:iCs/>
          <w:lang w:eastAsia="pl-PL"/>
        </w:rPr>
        <w:t xml:space="preserve"> (</w:t>
      </w:r>
      <w:proofErr w:type="spellStart"/>
      <w:r>
        <w:rPr>
          <w:rFonts w:eastAsia="Times New Roman" w:cstheme="minorHAnsi"/>
          <w:i/>
          <w:iCs/>
          <w:lang w:eastAsia="pl-PL"/>
        </w:rPr>
        <w:t>ZHiT</w:t>
      </w:r>
      <w:proofErr w:type="spellEnd"/>
      <w:r>
        <w:rPr>
          <w:rFonts w:eastAsia="Times New Roman" w:cstheme="minorHAnsi"/>
          <w:i/>
          <w:iCs/>
          <w:lang w:eastAsia="pl-PL"/>
        </w:rPr>
        <w:t>)</w:t>
      </w:r>
    </w:p>
    <w:p w14:paraId="6FAE24F1" w14:textId="0D944CDC" w:rsidR="00BF7293" w:rsidRDefault="00BF7293" w:rsidP="0085372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lang w:eastAsia="pl-PL"/>
        </w:rPr>
      </w:pPr>
      <w:r w:rsidRPr="00BF7293">
        <w:rPr>
          <w:rFonts w:eastAsia="Times New Roman" w:cstheme="minorHAnsi"/>
          <w:i/>
          <w:iCs/>
          <w:lang w:eastAsia="pl-PL"/>
        </w:rPr>
        <w:t>Istotna i oczekiwana jest hospitacja zajęć, która zwieńczona jes</w:t>
      </w:r>
      <w:r w:rsidR="007458AB">
        <w:rPr>
          <w:rFonts w:eastAsia="Times New Roman" w:cstheme="minorHAnsi"/>
          <w:i/>
          <w:iCs/>
          <w:lang w:eastAsia="pl-PL"/>
        </w:rPr>
        <w:t>t</w:t>
      </w:r>
      <w:r w:rsidRPr="00BF7293">
        <w:rPr>
          <w:rFonts w:eastAsia="Times New Roman" w:cstheme="minorHAnsi"/>
          <w:i/>
          <w:iCs/>
          <w:lang w:eastAsia="pl-PL"/>
        </w:rPr>
        <w:t xml:space="preserve"> wskazówkami od osoby hospitującej wykazanymi po zajęciach. W warunkach zdalnej wizytacji czas poszczególnych sekcji powinien być bardziej uelastyczniony.</w:t>
      </w:r>
      <w:r>
        <w:rPr>
          <w:rFonts w:eastAsia="Times New Roman" w:cstheme="minorHAnsi"/>
          <w:i/>
          <w:iCs/>
          <w:lang w:eastAsia="pl-PL"/>
        </w:rPr>
        <w:t xml:space="preserve"> (</w:t>
      </w:r>
      <w:proofErr w:type="spellStart"/>
      <w:r>
        <w:rPr>
          <w:rFonts w:eastAsia="Times New Roman" w:cstheme="minorHAnsi"/>
          <w:i/>
          <w:iCs/>
          <w:lang w:eastAsia="pl-PL"/>
        </w:rPr>
        <w:t>ZHiT</w:t>
      </w:r>
      <w:proofErr w:type="spellEnd"/>
      <w:r>
        <w:rPr>
          <w:rFonts w:eastAsia="Times New Roman" w:cstheme="minorHAnsi"/>
          <w:i/>
          <w:iCs/>
          <w:lang w:eastAsia="pl-PL"/>
        </w:rPr>
        <w:t>)</w:t>
      </w:r>
    </w:p>
    <w:p w14:paraId="4672131C" w14:textId="7583F526" w:rsidR="00BF7293" w:rsidRDefault="00BF7293" w:rsidP="0085372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lang w:eastAsia="pl-PL"/>
        </w:rPr>
      </w:pPr>
      <w:r w:rsidRPr="00BF7293">
        <w:rPr>
          <w:rFonts w:eastAsia="Times New Roman" w:cstheme="minorHAnsi"/>
          <w:i/>
          <w:iCs/>
          <w:lang w:eastAsia="pl-PL"/>
        </w:rPr>
        <w:t xml:space="preserve">Podczas dłuższych spotkań online (jedno z nich trwało 2 godziny) warto wprowadzić element przerwy higienicznej. Pożyteczne będzie także jasne wskazanie i nadzorowanie reguły dotyczącej zabierania głosu w dyskusji online z udziałem wielu uczestników. Brakowało podczas wizytacji możliwości zadawania członkom zespołu oceniającego pytań i konsultacji ewentualnych rozwiązań, np. w zakresie efektów uczenia się, czy też wprowadzania aplikacyjnych prac dyplomowych. Rozmowy z zespołem oceniającym miały często zbyt jednostronny charakter i przybierały formę </w:t>
      </w:r>
      <w:r w:rsidRPr="00BF7293">
        <w:rPr>
          <w:rFonts w:eastAsia="Times New Roman" w:cstheme="minorHAnsi"/>
          <w:i/>
          <w:iCs/>
          <w:lang w:eastAsia="pl-PL"/>
        </w:rPr>
        <w:lastRenderedPageBreak/>
        <w:t>niesprzyjającą wymianie myśli, pomysłów, rozwiązań. Czasem można było odnieść wrażenie, że przewodniczący zespołu oceniającego nadmiernie dominował przebieg poszczególnych spotkań i</w:t>
      </w:r>
      <w:r w:rsidR="00122CE7">
        <w:rPr>
          <w:rFonts w:eastAsia="Times New Roman" w:cstheme="minorHAnsi"/>
          <w:i/>
          <w:iCs/>
          <w:lang w:eastAsia="pl-PL"/>
        </w:rPr>
        <w:t> </w:t>
      </w:r>
      <w:r w:rsidRPr="00BF7293">
        <w:rPr>
          <w:rFonts w:eastAsia="Times New Roman" w:cstheme="minorHAnsi"/>
          <w:i/>
          <w:iCs/>
          <w:lang w:eastAsia="pl-PL"/>
        </w:rPr>
        <w:t>zbyt rzadko udzielał głosu ekspertom z zespołu wizytującego.</w:t>
      </w:r>
      <w:r>
        <w:rPr>
          <w:rFonts w:eastAsia="Times New Roman" w:cstheme="minorHAnsi"/>
          <w:i/>
          <w:iCs/>
          <w:lang w:eastAsia="pl-PL"/>
        </w:rPr>
        <w:t xml:space="preserve"> (</w:t>
      </w:r>
      <w:proofErr w:type="spellStart"/>
      <w:r>
        <w:rPr>
          <w:rFonts w:eastAsia="Times New Roman" w:cstheme="minorHAnsi"/>
          <w:i/>
          <w:iCs/>
          <w:lang w:eastAsia="pl-PL"/>
        </w:rPr>
        <w:t>ZHiT</w:t>
      </w:r>
      <w:proofErr w:type="spellEnd"/>
      <w:r>
        <w:rPr>
          <w:rFonts w:eastAsia="Times New Roman" w:cstheme="minorHAnsi"/>
          <w:i/>
          <w:iCs/>
          <w:lang w:eastAsia="pl-PL"/>
        </w:rPr>
        <w:t>)</w:t>
      </w:r>
    </w:p>
    <w:p w14:paraId="482986CB" w14:textId="40B2E376" w:rsidR="00BF7293" w:rsidRDefault="00BF7293" w:rsidP="0085372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lang w:eastAsia="pl-PL"/>
        </w:rPr>
      </w:pPr>
      <w:r w:rsidRPr="00BF7293">
        <w:rPr>
          <w:rFonts w:eastAsia="Times New Roman" w:cstheme="minorHAnsi"/>
          <w:i/>
          <w:iCs/>
          <w:lang w:eastAsia="pl-PL"/>
        </w:rPr>
        <w:t>W naszej ocenie zabrakło wskazania dobrych praktyk oraz zaleceń, które wzmocniłyby system organizacji praktyk zawodowych oraz komponowania programu studiów w porozumieniu z</w:t>
      </w:r>
      <w:r w:rsidR="00122CE7">
        <w:rPr>
          <w:rFonts w:eastAsia="Times New Roman" w:cstheme="minorHAnsi"/>
          <w:i/>
          <w:iCs/>
          <w:lang w:eastAsia="pl-PL"/>
        </w:rPr>
        <w:t> </w:t>
      </w:r>
      <w:r w:rsidRPr="00BF7293">
        <w:rPr>
          <w:rFonts w:eastAsia="Times New Roman" w:cstheme="minorHAnsi"/>
          <w:i/>
          <w:iCs/>
          <w:lang w:eastAsia="pl-PL"/>
        </w:rPr>
        <w:t>otoczeniem społeczno-gospodarczym. Warto także przemyśleć formułę spotkania zespołu oceniającego z przedstawicielami otoczenia społeczno-gospodarczego. Być może pożyteczne byłoby doprowadzenie także w trakcie wizytacji do wspólnych spotkań z poszczególnymi grupami biorącymi udział w procesie oceny. Należy też lepiej sformułować oczekiwania od grup, z którymi zespół oceniający planuje spotkania, a także zakreślić bardziej precyzyjnie tematykę poszczególnych spotkań. Pomoże to wówczas lepiej dobrać odpowiednio przygotowane i kompetentne osoby, które mogą służyć pełną informacją dla zespołu oceniającego.</w:t>
      </w:r>
      <w:r>
        <w:rPr>
          <w:rFonts w:eastAsia="Times New Roman" w:cstheme="minorHAnsi"/>
          <w:i/>
          <w:iCs/>
          <w:lang w:eastAsia="pl-PL"/>
        </w:rPr>
        <w:t xml:space="preserve"> (</w:t>
      </w:r>
      <w:proofErr w:type="spellStart"/>
      <w:r>
        <w:rPr>
          <w:rFonts w:eastAsia="Times New Roman" w:cstheme="minorHAnsi"/>
          <w:i/>
          <w:iCs/>
          <w:lang w:eastAsia="pl-PL"/>
        </w:rPr>
        <w:t>ZHiT</w:t>
      </w:r>
      <w:proofErr w:type="spellEnd"/>
      <w:r>
        <w:rPr>
          <w:rFonts w:eastAsia="Times New Roman" w:cstheme="minorHAnsi"/>
          <w:i/>
          <w:iCs/>
          <w:lang w:eastAsia="pl-PL"/>
        </w:rPr>
        <w:t>)</w:t>
      </w:r>
    </w:p>
    <w:p w14:paraId="2327A07C" w14:textId="14F4FE84" w:rsidR="00BF7293" w:rsidRDefault="00BF7293" w:rsidP="0085372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lang w:eastAsia="pl-PL"/>
        </w:rPr>
      </w:pPr>
      <w:r w:rsidRPr="00BF7293">
        <w:rPr>
          <w:rFonts w:eastAsia="Times New Roman" w:cstheme="minorHAnsi"/>
          <w:i/>
          <w:iCs/>
          <w:lang w:eastAsia="pl-PL"/>
        </w:rPr>
        <w:t xml:space="preserve">Nie bardzo widzimy konieczności zmian, może określić </w:t>
      </w:r>
      <w:r w:rsidR="007458AB" w:rsidRPr="00BF7293">
        <w:rPr>
          <w:rFonts w:eastAsia="Times New Roman" w:cstheme="minorHAnsi"/>
          <w:i/>
          <w:iCs/>
          <w:lang w:eastAsia="pl-PL"/>
        </w:rPr>
        <w:t>silniejsze</w:t>
      </w:r>
      <w:r w:rsidRPr="00BF7293">
        <w:rPr>
          <w:rFonts w:eastAsia="Times New Roman" w:cstheme="minorHAnsi"/>
          <w:i/>
          <w:iCs/>
          <w:lang w:eastAsia="pl-PL"/>
        </w:rPr>
        <w:t xml:space="preserve"> ograniczenie ilości tekstu.</w:t>
      </w:r>
      <w:r>
        <w:rPr>
          <w:rFonts w:eastAsia="Times New Roman" w:cstheme="minorHAnsi"/>
          <w:i/>
          <w:iCs/>
          <w:lang w:eastAsia="pl-PL"/>
        </w:rPr>
        <w:t xml:space="preserve"> (ZIT)</w:t>
      </w:r>
    </w:p>
    <w:p w14:paraId="3A1C6FDB" w14:textId="77777777" w:rsidR="00C11343" w:rsidRDefault="00C11343" w:rsidP="00C11343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  <w:sectPr w:rsidR="00C11343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404C11" w14:textId="77777777" w:rsidR="00C11343" w:rsidRPr="00F16280" w:rsidRDefault="00C11343" w:rsidP="00C11343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sectPr w:rsidR="00C11343" w:rsidRPr="00F16280" w:rsidSect="00C113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1A79" w14:textId="77777777" w:rsidR="0077331D" w:rsidRDefault="0077331D" w:rsidP="00500278">
      <w:pPr>
        <w:spacing w:after="0" w:line="240" w:lineRule="auto"/>
      </w:pPr>
      <w:r>
        <w:separator/>
      </w:r>
    </w:p>
  </w:endnote>
  <w:endnote w:type="continuationSeparator" w:id="0">
    <w:p w14:paraId="79362E62" w14:textId="77777777" w:rsidR="0077331D" w:rsidRDefault="0077331D" w:rsidP="0050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338246"/>
      <w:docPartObj>
        <w:docPartGallery w:val="Page Numbers (Bottom of Page)"/>
        <w:docPartUnique/>
      </w:docPartObj>
    </w:sdtPr>
    <w:sdtEndPr/>
    <w:sdtContent>
      <w:p w14:paraId="1DD1CF7B" w14:textId="77777777" w:rsidR="00DC4A9D" w:rsidRDefault="002D0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67C">
          <w:rPr>
            <w:noProof/>
          </w:rPr>
          <w:t>6</w:t>
        </w:r>
        <w:r>
          <w:fldChar w:fldCharType="end"/>
        </w:r>
      </w:p>
    </w:sdtContent>
  </w:sdt>
  <w:p w14:paraId="151173F5" w14:textId="77777777" w:rsidR="00DC4A9D" w:rsidRDefault="00773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C32D" w14:textId="77777777" w:rsidR="0077331D" w:rsidRDefault="0077331D" w:rsidP="00500278">
      <w:pPr>
        <w:spacing w:after="0" w:line="240" w:lineRule="auto"/>
      </w:pPr>
      <w:r>
        <w:separator/>
      </w:r>
    </w:p>
  </w:footnote>
  <w:footnote w:type="continuationSeparator" w:id="0">
    <w:p w14:paraId="1C34F179" w14:textId="77777777" w:rsidR="0077331D" w:rsidRDefault="0077331D" w:rsidP="0050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F48"/>
    <w:multiLevelType w:val="hybridMultilevel"/>
    <w:tmpl w:val="F1666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24D0"/>
    <w:multiLevelType w:val="hybridMultilevel"/>
    <w:tmpl w:val="5BEC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76B9E"/>
    <w:multiLevelType w:val="hybridMultilevel"/>
    <w:tmpl w:val="BFA0D676"/>
    <w:lvl w:ilvl="0" w:tplc="48347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6F1A"/>
    <w:multiLevelType w:val="hybridMultilevel"/>
    <w:tmpl w:val="1F44DA66"/>
    <w:lvl w:ilvl="0" w:tplc="8494C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4A73"/>
    <w:multiLevelType w:val="hybridMultilevel"/>
    <w:tmpl w:val="F1666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72AC9"/>
    <w:multiLevelType w:val="hybridMultilevel"/>
    <w:tmpl w:val="5380D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42FFC"/>
    <w:multiLevelType w:val="hybridMultilevel"/>
    <w:tmpl w:val="2BB4E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E2BF4"/>
    <w:multiLevelType w:val="hybridMultilevel"/>
    <w:tmpl w:val="E48A2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6E7FB6"/>
    <w:multiLevelType w:val="hybridMultilevel"/>
    <w:tmpl w:val="7F40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A6162"/>
    <w:multiLevelType w:val="hybridMultilevel"/>
    <w:tmpl w:val="79680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78"/>
    <w:rsid w:val="00002830"/>
    <w:rsid w:val="00006C66"/>
    <w:rsid w:val="000202B6"/>
    <w:rsid w:val="000D31CE"/>
    <w:rsid w:val="000F4E07"/>
    <w:rsid w:val="00122CE7"/>
    <w:rsid w:val="0015619C"/>
    <w:rsid w:val="00175B43"/>
    <w:rsid w:val="0027174C"/>
    <w:rsid w:val="002764E7"/>
    <w:rsid w:val="002C0BA6"/>
    <w:rsid w:val="002D0A04"/>
    <w:rsid w:val="00330AEF"/>
    <w:rsid w:val="003451AD"/>
    <w:rsid w:val="00346C4D"/>
    <w:rsid w:val="00385CF9"/>
    <w:rsid w:val="003A1E94"/>
    <w:rsid w:val="00411695"/>
    <w:rsid w:val="004B1710"/>
    <w:rsid w:val="00500278"/>
    <w:rsid w:val="00516E8B"/>
    <w:rsid w:val="005353C9"/>
    <w:rsid w:val="00563195"/>
    <w:rsid w:val="005862DF"/>
    <w:rsid w:val="006241AA"/>
    <w:rsid w:val="00634210"/>
    <w:rsid w:val="00680DEA"/>
    <w:rsid w:val="006A0C6E"/>
    <w:rsid w:val="006E467C"/>
    <w:rsid w:val="006E4A1F"/>
    <w:rsid w:val="00721EE7"/>
    <w:rsid w:val="007458AB"/>
    <w:rsid w:val="00755245"/>
    <w:rsid w:val="0077331D"/>
    <w:rsid w:val="00777FB4"/>
    <w:rsid w:val="007D6B37"/>
    <w:rsid w:val="0085372F"/>
    <w:rsid w:val="00960D1A"/>
    <w:rsid w:val="00973DA2"/>
    <w:rsid w:val="00A25739"/>
    <w:rsid w:val="00A828B7"/>
    <w:rsid w:val="00AA64B9"/>
    <w:rsid w:val="00AF2B81"/>
    <w:rsid w:val="00B22768"/>
    <w:rsid w:val="00B75EF2"/>
    <w:rsid w:val="00BF7293"/>
    <w:rsid w:val="00C03ACA"/>
    <w:rsid w:val="00C11343"/>
    <w:rsid w:val="00C50DC9"/>
    <w:rsid w:val="00CA173D"/>
    <w:rsid w:val="00CF2727"/>
    <w:rsid w:val="00DE3398"/>
    <w:rsid w:val="00E355FD"/>
    <w:rsid w:val="00E479BA"/>
    <w:rsid w:val="00EF3ABD"/>
    <w:rsid w:val="00EF58E2"/>
    <w:rsid w:val="00F011BD"/>
    <w:rsid w:val="00F15A06"/>
    <w:rsid w:val="00F16280"/>
    <w:rsid w:val="00F21009"/>
    <w:rsid w:val="00F74381"/>
    <w:rsid w:val="00F87062"/>
    <w:rsid w:val="00FA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18D5"/>
  <w15:chartTrackingRefBased/>
  <w15:docId w15:val="{37A3D5AC-C208-4695-AE7D-8327F071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278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0278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00278"/>
    <w:pPr>
      <w:pBdr>
        <w:bottom w:val="single" w:sz="8" w:space="4" w:color="A5300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00278"/>
    <w:rPr>
      <w:rFonts w:asciiTheme="majorHAnsi" w:eastAsiaTheme="majorEastAsia" w:hAnsiTheme="majorHAnsi" w:cstheme="majorBidi"/>
      <w:color w:val="252525" w:themeColor="text2" w:themeShade="BF"/>
      <w:spacing w:val="5"/>
      <w:sz w:val="52"/>
      <w:szCs w:val="52"/>
    </w:rPr>
  </w:style>
  <w:style w:type="paragraph" w:styleId="Stopka">
    <w:name w:val="footer"/>
    <w:basedOn w:val="Normalny"/>
    <w:link w:val="StopkaZnak"/>
    <w:uiPriority w:val="99"/>
    <w:unhideWhenUsed/>
    <w:rsid w:val="0050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278"/>
    <w:rPr>
      <w:rFonts w:eastAsiaTheme="minorEastAsi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2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278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278"/>
    <w:rPr>
      <w:vertAlign w:val="superscript"/>
    </w:rPr>
  </w:style>
  <w:style w:type="table" w:styleId="Tabelasiatki5ciemnaakcent1">
    <w:name w:val="Grid Table 5 Dark Accent 1"/>
    <w:basedOn w:val="Standardowy"/>
    <w:uiPriority w:val="50"/>
    <w:rsid w:val="0050027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paragraph" w:styleId="Akapitzlist">
    <w:name w:val="List Paragraph"/>
    <w:basedOn w:val="Normalny"/>
    <w:uiPriority w:val="34"/>
    <w:qFormat/>
    <w:rsid w:val="00500278"/>
    <w:pPr>
      <w:ind w:left="720"/>
      <w:contextualSpacing/>
    </w:pPr>
  </w:style>
  <w:style w:type="paragraph" w:customStyle="1" w:styleId="Default">
    <w:name w:val="Default"/>
    <w:rsid w:val="0050027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elasiatki1jasnaakcent1">
    <w:name w:val="Grid Table 1 Light Accent 1"/>
    <w:basedOn w:val="Standardowy"/>
    <w:uiPriority w:val="46"/>
    <w:rsid w:val="0050027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7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DA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Czerwony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2D11F-0320-40F4-BEDD-919452CB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5427</TotalTime>
  <Pages>8</Pages>
  <Words>1601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Wrona</dc:creator>
  <cp:keywords/>
  <dc:description/>
  <cp:lastModifiedBy>Anna Sikora</cp:lastModifiedBy>
  <cp:revision>25</cp:revision>
  <cp:lastPrinted>2018-02-14T07:43:00Z</cp:lastPrinted>
  <dcterms:created xsi:type="dcterms:W3CDTF">2018-02-13T12:44:00Z</dcterms:created>
  <dcterms:modified xsi:type="dcterms:W3CDTF">2021-06-23T12:31:00Z</dcterms:modified>
</cp:coreProperties>
</file>